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8264" w14:textId="77777777" w:rsidR="007B7D70" w:rsidRPr="007B7D70" w:rsidRDefault="007B7D70" w:rsidP="007B7D70">
      <w:pPr>
        <w:spacing w:after="80" w:line="240" w:lineRule="auto"/>
        <w:contextualSpacing/>
        <w:rPr>
          <w:rFonts w:asciiTheme="majorHAnsi" w:eastAsiaTheme="majorEastAsia" w:hAnsiTheme="majorHAnsi" w:cstheme="majorBidi"/>
          <w:spacing w:val="-10"/>
          <w:kern w:val="28"/>
          <w:sz w:val="56"/>
          <w:szCs w:val="56"/>
        </w:rPr>
      </w:pPr>
      <w:r w:rsidRPr="007B7D70">
        <w:rPr>
          <w:rFonts w:asciiTheme="majorHAnsi" w:eastAsiaTheme="majorEastAsia" w:hAnsiTheme="majorHAnsi" w:cstheme="majorBidi"/>
          <w:spacing w:val="-10"/>
          <w:kern w:val="28"/>
          <w:sz w:val="56"/>
          <w:szCs w:val="56"/>
        </w:rPr>
        <w:t>Reform step monitoring template</w:t>
      </w:r>
    </w:p>
    <w:p w14:paraId="7F650539" w14:textId="77777777" w:rsidR="007B7D70" w:rsidRPr="007B7D70" w:rsidRDefault="007B7D70" w:rsidP="007B7D70">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B7D70">
        <w:rPr>
          <w:rFonts w:asciiTheme="majorHAnsi" w:eastAsiaTheme="majorEastAsia" w:hAnsiTheme="majorHAnsi" w:cstheme="majorBidi"/>
          <w:color w:val="2F5496" w:themeColor="accent1" w:themeShade="BF"/>
          <w:sz w:val="40"/>
          <w:szCs w:val="40"/>
        </w:rPr>
        <w:t>Step overview</w:t>
      </w:r>
    </w:p>
    <w:p w14:paraId="6186662C" w14:textId="77777777" w:rsidR="007B7D70" w:rsidRPr="007B7D70" w:rsidRDefault="007B7D70" w:rsidP="007B7D70">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7B7D70" w:rsidRPr="007B7D70" w14:paraId="267CFB15" w14:textId="77777777" w:rsidTr="00314DB3">
        <w:trPr>
          <w:trHeight w:val="399"/>
        </w:trPr>
        <w:tc>
          <w:tcPr>
            <w:tcW w:w="2122" w:type="dxa"/>
            <w:shd w:val="clear" w:color="auto" w:fill="44546A" w:themeFill="text2"/>
          </w:tcPr>
          <w:p w14:paraId="7C0A9998"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Sub-area</w:t>
            </w:r>
          </w:p>
        </w:tc>
        <w:tc>
          <w:tcPr>
            <w:tcW w:w="6804" w:type="dxa"/>
            <w:shd w:val="clear" w:color="auto" w:fill="EAEDF1" w:themeFill="text2" w:themeFillTint="1A"/>
          </w:tcPr>
          <w:p w14:paraId="3DB366D6" w14:textId="51FF3EA0" w:rsidR="007B7D70" w:rsidRPr="007B7D70" w:rsidRDefault="007B7D70" w:rsidP="007B7D70">
            <w:pPr>
              <w:spacing w:before="120" w:after="120"/>
              <w:rPr>
                <w:rFonts w:ascii="Aptos" w:eastAsia="Times New Roman" w:hAnsi="Aptos" w:cs="Times New Roman"/>
                <w:b/>
                <w:bCs/>
                <w:color w:val="000000"/>
                <w:kern w:val="0"/>
                <w:sz w:val="20"/>
                <w:szCs w:val="20"/>
                <w:lang w:eastAsia="en-GB"/>
                <w14:ligatures w14:val="none"/>
              </w:rPr>
            </w:pPr>
            <w:r w:rsidRPr="007B7D70">
              <w:rPr>
                <w:rFonts w:ascii="Aptos" w:eastAsia="Times New Roman" w:hAnsi="Aptos" w:cs="Times New Roman"/>
                <w:b/>
                <w:bCs/>
                <w:color w:val="000000"/>
                <w:kern w:val="0"/>
                <w:sz w:val="20"/>
                <w:szCs w:val="20"/>
                <w:lang w:eastAsia="en-GB"/>
                <w14:ligatures w14:val="none"/>
              </w:rPr>
              <w:t>9.5: Fight against corruption</w:t>
            </w:r>
          </w:p>
        </w:tc>
      </w:tr>
      <w:tr w:rsidR="007B7D70" w:rsidRPr="007B7D70" w14:paraId="2D5FC791" w14:textId="77777777" w:rsidTr="00314DB3">
        <w:trPr>
          <w:trHeight w:val="393"/>
        </w:trPr>
        <w:tc>
          <w:tcPr>
            <w:tcW w:w="2122" w:type="dxa"/>
            <w:shd w:val="clear" w:color="auto" w:fill="44546A" w:themeFill="text2"/>
          </w:tcPr>
          <w:p w14:paraId="23B91837"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Reform</w:t>
            </w:r>
          </w:p>
        </w:tc>
        <w:tc>
          <w:tcPr>
            <w:tcW w:w="6804" w:type="dxa"/>
            <w:shd w:val="clear" w:color="auto" w:fill="EAEDF1" w:themeFill="text2" w:themeFillTint="1A"/>
          </w:tcPr>
          <w:p w14:paraId="0EE2C9AE" w14:textId="306CECE9" w:rsidR="007B7D70" w:rsidRPr="007B7D70" w:rsidRDefault="007B7D70" w:rsidP="007B7D70">
            <w:pPr>
              <w:spacing w:before="120" w:after="120"/>
              <w:rPr>
                <w:rFonts w:ascii="Aptos" w:eastAsia="Times New Roman" w:hAnsi="Aptos" w:cs="Times New Roman"/>
                <w:b/>
                <w:bCs/>
                <w:color w:val="000000"/>
                <w:kern w:val="0"/>
                <w:sz w:val="20"/>
                <w:szCs w:val="20"/>
                <w:lang w:eastAsia="en-GB"/>
                <w14:ligatures w14:val="none"/>
              </w:rPr>
            </w:pPr>
            <w:r w:rsidRPr="007B7D70">
              <w:rPr>
                <w:rFonts w:ascii="Aptos" w:eastAsia="Times New Roman" w:hAnsi="Aptos" w:cs="Times New Roman"/>
                <w:b/>
                <w:bCs/>
                <w:color w:val="000000"/>
                <w:kern w:val="0"/>
                <w:sz w:val="20"/>
                <w:szCs w:val="20"/>
                <w:lang w:eastAsia="en-GB"/>
                <w14:ligatures w14:val="none"/>
              </w:rPr>
              <w:t>9.5.1. Improved fight against and prevention of corruption</w:t>
            </w:r>
          </w:p>
        </w:tc>
      </w:tr>
      <w:tr w:rsidR="007B7D70" w:rsidRPr="007B7D70" w14:paraId="17EF2418" w14:textId="77777777" w:rsidTr="00314DB3">
        <w:trPr>
          <w:trHeight w:val="393"/>
        </w:trPr>
        <w:tc>
          <w:tcPr>
            <w:tcW w:w="2122" w:type="dxa"/>
            <w:shd w:val="clear" w:color="auto" w:fill="44546A" w:themeFill="text2"/>
          </w:tcPr>
          <w:p w14:paraId="4E77D7B9"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Reporting indicator</w:t>
            </w:r>
          </w:p>
        </w:tc>
        <w:tc>
          <w:tcPr>
            <w:tcW w:w="6804" w:type="dxa"/>
            <w:shd w:val="clear" w:color="auto" w:fill="EAEDF1" w:themeFill="text2" w:themeFillTint="1A"/>
          </w:tcPr>
          <w:p w14:paraId="530F000A" w14:textId="77777777" w:rsidR="007B7D70" w:rsidRPr="007B7D70" w:rsidRDefault="007B7D70" w:rsidP="007B7D70">
            <w:pPr>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Status of fight against and prevention of corruption related regulatory</w:t>
            </w:r>
          </w:p>
          <w:p w14:paraId="7CD87AE2" w14:textId="018157D4" w:rsidR="007B7D70" w:rsidRPr="007B7D70" w:rsidRDefault="007B7D70" w:rsidP="007B7D70">
            <w:pPr>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framework</w:t>
            </w:r>
          </w:p>
        </w:tc>
      </w:tr>
      <w:tr w:rsidR="007B7D70" w:rsidRPr="007B7D70" w14:paraId="0A490C14" w14:textId="77777777" w:rsidTr="00314DB3">
        <w:trPr>
          <w:trHeight w:val="759"/>
        </w:trPr>
        <w:tc>
          <w:tcPr>
            <w:tcW w:w="2122" w:type="dxa"/>
            <w:shd w:val="clear" w:color="auto" w:fill="44546A" w:themeFill="text2"/>
          </w:tcPr>
          <w:p w14:paraId="4C486716"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Reform Step</w:t>
            </w:r>
          </w:p>
        </w:tc>
        <w:tc>
          <w:tcPr>
            <w:tcW w:w="6804" w:type="dxa"/>
          </w:tcPr>
          <w:p w14:paraId="10A7A3F1" w14:textId="4C9BC31C" w:rsidR="00CD5DD6"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1. Following consultations with the Commission, the strategy and action plan for 2025-2028 are adopted</w:t>
            </w:r>
          </w:p>
        </w:tc>
      </w:tr>
      <w:tr w:rsidR="007B7D70" w:rsidRPr="007B7D70" w14:paraId="3BBDC6B0" w14:textId="77777777" w:rsidTr="00314DB3">
        <w:trPr>
          <w:trHeight w:val="559"/>
        </w:trPr>
        <w:tc>
          <w:tcPr>
            <w:tcW w:w="2122" w:type="dxa"/>
            <w:shd w:val="clear" w:color="auto" w:fill="44546A" w:themeFill="text2"/>
          </w:tcPr>
          <w:p w14:paraId="2F60FF3C" w14:textId="77777777" w:rsidR="007B7D70" w:rsidRPr="00296FF5" w:rsidRDefault="007B7D70" w:rsidP="007B7D70">
            <w:pPr>
              <w:spacing w:before="120" w:after="120"/>
              <w:rPr>
                <w:rFonts w:ascii="Aptos" w:eastAsia="Times New Roman" w:hAnsi="Aptos" w:cs="Times New Roman"/>
                <w:color w:val="FFFFFF" w:themeColor="background1"/>
                <w:sz w:val="20"/>
                <w:szCs w:val="20"/>
                <w:lang w:eastAsia="en-GB"/>
              </w:rPr>
            </w:pPr>
            <w:r w:rsidRPr="00296FF5">
              <w:rPr>
                <w:rFonts w:ascii="Aptos" w:eastAsia="Times New Roman" w:hAnsi="Aptos" w:cs="Times New Roman"/>
                <w:b/>
                <w:bCs/>
                <w:color w:val="FFFFFF" w:themeColor="background1"/>
                <w:kern w:val="0"/>
                <w:sz w:val="20"/>
                <w:szCs w:val="20"/>
                <w:lang w:eastAsia="en-GB"/>
                <w14:ligatures w14:val="none"/>
              </w:rPr>
              <w:t>Step deadline</w:t>
            </w:r>
          </w:p>
        </w:tc>
        <w:tc>
          <w:tcPr>
            <w:tcW w:w="6804" w:type="dxa"/>
          </w:tcPr>
          <w:p w14:paraId="372C5B77" w14:textId="1E63E4C3" w:rsidR="007B7D70"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December 202</w:t>
            </w:r>
            <w:r>
              <w:rPr>
                <w:rFonts w:ascii="Aptos" w:eastAsia="Times New Roman" w:hAnsi="Aptos" w:cs="Times New Roman"/>
                <w:color w:val="000000"/>
                <w:kern w:val="0"/>
                <w:sz w:val="20"/>
                <w:szCs w:val="20"/>
                <w:lang w:eastAsia="en-GB"/>
                <w14:ligatures w14:val="none"/>
              </w:rPr>
              <w:t>4</w:t>
            </w:r>
          </w:p>
        </w:tc>
      </w:tr>
      <w:tr w:rsidR="007B7D70" w:rsidRPr="007B7D70" w14:paraId="397E0945" w14:textId="77777777" w:rsidTr="00314DB3">
        <w:trPr>
          <w:trHeight w:val="553"/>
        </w:trPr>
        <w:tc>
          <w:tcPr>
            <w:tcW w:w="2122" w:type="dxa"/>
            <w:shd w:val="clear" w:color="auto" w:fill="44546A" w:themeFill="text2"/>
          </w:tcPr>
          <w:p w14:paraId="7A7C1B56"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Step value in EUR</w:t>
            </w:r>
          </w:p>
        </w:tc>
        <w:tc>
          <w:tcPr>
            <w:tcW w:w="6804" w:type="dxa"/>
          </w:tcPr>
          <w:p w14:paraId="0631A470" w14:textId="259BDF93" w:rsidR="007B7D70"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6.793.811,69</w:t>
            </w:r>
          </w:p>
        </w:tc>
      </w:tr>
      <w:tr w:rsidR="007B7D70" w:rsidRPr="007B7D70" w14:paraId="0D7589C5" w14:textId="77777777" w:rsidTr="00314DB3">
        <w:trPr>
          <w:trHeight w:val="535"/>
        </w:trPr>
        <w:tc>
          <w:tcPr>
            <w:tcW w:w="2122" w:type="dxa"/>
            <w:shd w:val="clear" w:color="auto" w:fill="44546A" w:themeFill="text2"/>
          </w:tcPr>
          <w:p w14:paraId="333678D4"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Responsible</w:t>
            </w:r>
          </w:p>
        </w:tc>
        <w:tc>
          <w:tcPr>
            <w:tcW w:w="6804" w:type="dxa"/>
          </w:tcPr>
          <w:p w14:paraId="4BC631E9" w14:textId="77777777" w:rsidR="007B7D70"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Ministry of justice</w:t>
            </w:r>
          </w:p>
        </w:tc>
      </w:tr>
      <w:tr w:rsidR="007B7D70" w:rsidRPr="007B7D70" w14:paraId="58A1AE49" w14:textId="77777777" w:rsidTr="00314DB3">
        <w:trPr>
          <w:trHeight w:val="583"/>
        </w:trPr>
        <w:tc>
          <w:tcPr>
            <w:tcW w:w="2122" w:type="dxa"/>
            <w:shd w:val="clear" w:color="auto" w:fill="44546A" w:themeFill="text2"/>
          </w:tcPr>
          <w:p w14:paraId="71330109" w14:textId="77777777" w:rsidR="007B7D70" w:rsidRPr="00296FF5" w:rsidRDefault="007B7D70" w:rsidP="007B7D70">
            <w:pPr>
              <w:spacing w:before="120" w:after="120"/>
              <w:rPr>
                <w:rFonts w:ascii="Aptos" w:eastAsia="Times New Roman" w:hAnsi="Aptos" w:cs="Times New Roman"/>
                <w:color w:val="FFFFFF" w:themeColor="background1"/>
                <w:sz w:val="20"/>
                <w:szCs w:val="20"/>
                <w:lang w:eastAsia="en-GB"/>
              </w:rPr>
            </w:pPr>
            <w:r w:rsidRPr="00296FF5">
              <w:rPr>
                <w:rFonts w:ascii="Aptos" w:eastAsia="Times New Roman" w:hAnsi="Aptos" w:cs="Times New Roman"/>
                <w:b/>
                <w:bCs/>
                <w:color w:val="FFFFFF" w:themeColor="background1"/>
                <w:kern w:val="0"/>
                <w:sz w:val="20"/>
                <w:szCs w:val="20"/>
                <w:lang w:eastAsia="en-GB"/>
                <w14:ligatures w14:val="none"/>
              </w:rPr>
              <w:t>Baseline</w:t>
            </w:r>
          </w:p>
        </w:tc>
        <w:tc>
          <w:tcPr>
            <w:tcW w:w="6804" w:type="dxa"/>
          </w:tcPr>
          <w:p w14:paraId="4CBBB87F" w14:textId="7D7E05C1" w:rsidR="007B7D70"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The Strategy is adopted and the Action plan is in the drafting phase.</w:t>
            </w:r>
          </w:p>
        </w:tc>
      </w:tr>
      <w:tr w:rsidR="007B7D70" w:rsidRPr="007B7D70" w14:paraId="692E4DD9" w14:textId="77777777" w:rsidTr="00314DB3">
        <w:trPr>
          <w:trHeight w:val="577"/>
        </w:trPr>
        <w:tc>
          <w:tcPr>
            <w:tcW w:w="2122" w:type="dxa"/>
            <w:shd w:val="clear" w:color="auto" w:fill="44546A" w:themeFill="text2"/>
          </w:tcPr>
          <w:p w14:paraId="4DA811AB" w14:textId="77777777" w:rsidR="007B7D70" w:rsidRPr="00296FF5" w:rsidRDefault="007B7D70" w:rsidP="007B7D70">
            <w:pPr>
              <w:spacing w:before="120" w:after="120"/>
              <w:rPr>
                <w:rFonts w:ascii="Aptos" w:eastAsia="Times New Roman" w:hAnsi="Aptos" w:cs="Times New Roman"/>
                <w:b/>
                <w:bCs/>
                <w:color w:val="FFFFFF" w:themeColor="background1"/>
                <w:kern w:val="0"/>
                <w:sz w:val="20"/>
                <w:szCs w:val="20"/>
                <w:lang w:eastAsia="en-GB"/>
                <w14:ligatures w14:val="none"/>
              </w:rPr>
            </w:pPr>
            <w:r w:rsidRPr="00296FF5">
              <w:rPr>
                <w:rFonts w:ascii="Aptos" w:eastAsia="Times New Roman" w:hAnsi="Aptos" w:cs="Times New Roman"/>
                <w:b/>
                <w:bCs/>
                <w:color w:val="FFFFFF" w:themeColor="background1"/>
                <w:kern w:val="0"/>
                <w:sz w:val="20"/>
                <w:szCs w:val="20"/>
                <w:lang w:eastAsia="en-GB"/>
                <w14:ligatures w14:val="none"/>
              </w:rPr>
              <w:t>Sources of verification</w:t>
            </w:r>
          </w:p>
        </w:tc>
        <w:tc>
          <w:tcPr>
            <w:tcW w:w="6804" w:type="dxa"/>
          </w:tcPr>
          <w:p w14:paraId="43BA9D38" w14:textId="77777777" w:rsidR="007B7D70" w:rsidRPr="007B7D70" w:rsidRDefault="007B7D70" w:rsidP="007B7D70">
            <w:pPr>
              <w:spacing w:before="120" w:after="120"/>
              <w:rPr>
                <w:rFonts w:ascii="Aptos" w:eastAsia="Times New Roman" w:hAnsi="Aptos" w:cs="Times New Roman"/>
                <w:color w:val="000000"/>
                <w:kern w:val="0"/>
                <w:sz w:val="20"/>
                <w:szCs w:val="20"/>
                <w:lang w:eastAsia="en-GB"/>
                <w14:ligatures w14:val="none"/>
              </w:rPr>
            </w:pPr>
            <w:r w:rsidRPr="007B7D70">
              <w:rPr>
                <w:rFonts w:ascii="Aptos" w:eastAsia="Times New Roman" w:hAnsi="Aptos" w:cs="Times New Roman"/>
                <w:color w:val="000000"/>
                <w:kern w:val="0"/>
                <w:sz w:val="20"/>
                <w:szCs w:val="20"/>
                <w:lang w:eastAsia="en-GB"/>
                <w14:ligatures w14:val="none"/>
              </w:rPr>
              <w:t>Official Gazette of the Republic of Serbia</w:t>
            </w:r>
          </w:p>
        </w:tc>
      </w:tr>
    </w:tbl>
    <w:p w14:paraId="306D7C3D" w14:textId="77777777" w:rsidR="007B7D70" w:rsidRPr="007B7D70" w:rsidRDefault="007B7D70" w:rsidP="007B7D70">
      <w:pPr>
        <w:spacing w:after="0" w:line="240" w:lineRule="auto"/>
        <w:rPr>
          <w:sz w:val="24"/>
          <w:szCs w:val="24"/>
        </w:rPr>
      </w:pPr>
    </w:p>
    <w:p w14:paraId="7343F40B" w14:textId="77777777" w:rsidR="007B7D70" w:rsidRPr="007B7D70" w:rsidRDefault="007B7D70" w:rsidP="007B7D70">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B7D70">
        <w:rPr>
          <w:rFonts w:asciiTheme="majorHAnsi" w:eastAsiaTheme="majorEastAsia" w:hAnsiTheme="majorHAnsi" w:cstheme="majorBidi"/>
          <w:color w:val="2F5496" w:themeColor="accent1" w:themeShade="BF"/>
          <w:sz w:val="40"/>
          <w:szCs w:val="40"/>
        </w:rPr>
        <w:t>Analysis</w:t>
      </w:r>
    </w:p>
    <w:p w14:paraId="10F63991" w14:textId="77777777" w:rsidR="007B7D70" w:rsidRPr="007B7D70" w:rsidRDefault="007B7D70" w:rsidP="007B7D70">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7B7D70" w:rsidRPr="007B7D70" w14:paraId="003D0A70"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510B34FC" w14:textId="77777777" w:rsidR="007B7D70" w:rsidRPr="00296FF5" w:rsidRDefault="007B7D70" w:rsidP="007B7D70">
            <w:pPr>
              <w:spacing w:before="120" w:after="120"/>
              <w:rPr>
                <w:rFonts w:ascii="Aptos" w:eastAsia="Times New Roman" w:hAnsi="Aptos" w:cs="Times New Roman"/>
                <w:color w:val="FFFFFF" w:themeColor="background1"/>
                <w:kern w:val="0"/>
                <w:sz w:val="20"/>
                <w:szCs w:val="20"/>
                <w:lang w:eastAsia="en-GB"/>
                <w14:ligatures w14:val="none"/>
              </w:rPr>
            </w:pPr>
            <w:r w:rsidRPr="00296FF5">
              <w:rPr>
                <w:rFonts w:ascii="Aptos" w:eastAsia="Times New Roman" w:hAnsi="Aptos" w:cs="Times New Roman"/>
                <w:color w:val="FFFFFF" w:themeColor="background1"/>
                <w:kern w:val="0"/>
                <w:sz w:val="20"/>
                <w:szCs w:val="20"/>
                <w:lang w:eastAsia="en-GB"/>
                <w14:ligatures w14:val="none"/>
              </w:rPr>
              <w:t>Define step milestones</w:t>
            </w:r>
          </w:p>
        </w:tc>
        <w:tc>
          <w:tcPr>
            <w:tcW w:w="6753" w:type="dxa"/>
          </w:tcPr>
          <w:p w14:paraId="35FC8210"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take into account applicable legal requirements (e.g. Law on the Planning System, Government Rules of Procedure, etc.).</w:t>
            </w:r>
          </w:p>
          <w:p w14:paraId="33166379" w14:textId="77777777" w:rsidR="007B7D70" w:rsidRPr="007B7D70" w:rsidRDefault="007B7D70" w:rsidP="007B7D70">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B7D70">
              <w:rPr>
                <w:sz w:val="20"/>
                <w:szCs w:val="20"/>
              </w:rPr>
              <w:t>Setting up the working group in an open and transparent process</w:t>
            </w:r>
          </w:p>
          <w:p w14:paraId="7CF2F39E" w14:textId="77777777" w:rsidR="007B7D70" w:rsidRPr="007B7D70" w:rsidRDefault="007B7D70" w:rsidP="007B7D70">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B7D70">
              <w:rPr>
                <w:sz w:val="20"/>
                <w:szCs w:val="20"/>
              </w:rPr>
              <w:t>The working group jointly formulates the proposed amendments through the participation and consensus of all its members</w:t>
            </w:r>
          </w:p>
          <w:p w14:paraId="0F78EC5D" w14:textId="77777777" w:rsidR="007B7D70" w:rsidRPr="007B7D70" w:rsidRDefault="007B7D70" w:rsidP="007B7D70">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B7D70">
              <w:rPr>
                <w:sz w:val="20"/>
                <w:szCs w:val="20"/>
              </w:rPr>
              <w:t>Publication of the draft on eConsultation Portal</w:t>
            </w:r>
          </w:p>
          <w:p w14:paraId="6709ABAF" w14:textId="0C265D28" w:rsidR="007B7D70" w:rsidRPr="000D6908" w:rsidRDefault="007B7D70" w:rsidP="000D6908">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0D6908">
              <w:rPr>
                <w:sz w:val="20"/>
                <w:szCs w:val="20"/>
              </w:rPr>
              <w:t xml:space="preserve">Public debate conducted </w:t>
            </w:r>
            <w:r w:rsidRPr="000D6908">
              <w:rPr>
                <w:color w:val="000000" w:themeColor="text1"/>
                <w:sz w:val="20"/>
                <w:szCs w:val="20"/>
              </w:rPr>
              <w:t xml:space="preserve">with minimum duration of </w:t>
            </w:r>
            <w:proofErr w:type="gramStart"/>
            <w:r w:rsidRPr="000D6908">
              <w:rPr>
                <w:color w:val="000000" w:themeColor="text1"/>
                <w:sz w:val="20"/>
                <w:szCs w:val="20"/>
              </w:rPr>
              <w:t>20  days</w:t>
            </w:r>
            <w:proofErr w:type="gramEnd"/>
            <w:r w:rsidR="000D6908" w:rsidRPr="00034BA0">
              <w:rPr>
                <w:color w:val="000000" w:themeColor="text1"/>
                <w:sz w:val="20"/>
                <w:szCs w:val="20"/>
              </w:rPr>
              <w:t xml:space="preserve">, </w:t>
            </w:r>
            <w:r w:rsidR="000D6908">
              <w:rPr>
                <w:sz w:val="20"/>
                <w:szCs w:val="20"/>
              </w:rPr>
              <w:t>C</w:t>
            </w:r>
            <w:r w:rsidRPr="000D6908">
              <w:rPr>
                <w:sz w:val="20"/>
                <w:szCs w:val="20"/>
              </w:rPr>
              <w:t>onsultation and public debate report(s) published on eConsultation Portal, along with final draft version</w:t>
            </w:r>
          </w:p>
          <w:p w14:paraId="65EFBF22" w14:textId="77777777" w:rsidR="007B7D70" w:rsidRDefault="00A50971" w:rsidP="007B7D70">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A</w:t>
            </w:r>
            <w:r w:rsidR="007B7D70" w:rsidRPr="007B7D70">
              <w:rPr>
                <w:sz w:val="20"/>
                <w:szCs w:val="20"/>
              </w:rPr>
              <w:t xml:space="preserve">dopted at the Government session </w:t>
            </w:r>
          </w:p>
          <w:p w14:paraId="26E37CF2" w14:textId="42DC5CCC" w:rsidR="00051111" w:rsidRPr="007B7D70" w:rsidRDefault="00051111" w:rsidP="007B7D70">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051111">
              <w:rPr>
                <w:sz w:val="20"/>
                <w:szCs w:val="20"/>
              </w:rPr>
              <w:t>Publication in the Official Gazette</w:t>
            </w:r>
            <w:r>
              <w:rPr>
                <w:sz w:val="20"/>
                <w:szCs w:val="20"/>
              </w:rPr>
              <w:t xml:space="preserve"> </w:t>
            </w:r>
          </w:p>
        </w:tc>
      </w:tr>
      <w:tr w:rsidR="007B7D70" w:rsidRPr="007B7D70" w14:paraId="402C9BB3"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0C618D8" w14:textId="77777777" w:rsidR="007B7D70" w:rsidRPr="00296FF5" w:rsidRDefault="007B7D70" w:rsidP="007B7D70">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296FF5">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296FF5">
              <w:rPr>
                <w:rFonts w:ascii="Aptos" w:eastAsia="Times New Roman" w:hAnsi="Aptos" w:cs="Times New Roman"/>
                <w:color w:val="FFFFFF" w:themeColor="background1"/>
                <w:kern w:val="0"/>
                <w:sz w:val="20"/>
                <w:szCs w:val="20"/>
                <w:lang w:eastAsia="en-GB"/>
                <w14:ligatures w14:val="none"/>
              </w:rPr>
              <w:t xml:space="preserve"> achievement of each milestone</w:t>
            </w:r>
          </w:p>
        </w:tc>
        <w:tc>
          <w:tcPr>
            <w:tcW w:w="6753" w:type="dxa"/>
          </w:tcPr>
          <w:p w14:paraId="0AB3EC1E"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For each identified milestone, provide a succinct analysis of its implementation process. Use numbered points corresponding to the defined milestones above. Please provide references wherever possible.</w:t>
            </w:r>
          </w:p>
          <w:p w14:paraId="3FC39546" w14:textId="660D6797" w:rsidR="00881711" w:rsidRDefault="00881711" w:rsidP="007B7D7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881711">
              <w:rPr>
                <w:sz w:val="20"/>
                <w:szCs w:val="20"/>
              </w:rPr>
              <w:t xml:space="preserve">The Working Group for drafting the National Anti-Corruption Strategy for the period 2024–2028 </w:t>
            </w:r>
            <w:hyperlink r:id="rId8" w:history="1">
              <w:r w:rsidRPr="006F18BE">
                <w:rPr>
                  <w:rStyle w:val="Hyperlink"/>
                  <w:sz w:val="20"/>
                  <w:szCs w:val="20"/>
                </w:rPr>
                <w:t>began its work</w:t>
              </w:r>
            </w:hyperlink>
            <w:r w:rsidRPr="00881711">
              <w:rPr>
                <w:sz w:val="20"/>
                <w:szCs w:val="20"/>
              </w:rPr>
              <w:t xml:space="preserve"> in March 2023. The Working Group for drafting the Action Plan for its implementation for the period 2024–2025 </w:t>
            </w:r>
            <w:hyperlink r:id="rId9" w:history="1">
              <w:r w:rsidR="006F18BE" w:rsidRPr="006F18BE">
                <w:rPr>
                  <w:rStyle w:val="Hyperlink"/>
                  <w:sz w:val="20"/>
                  <w:szCs w:val="20"/>
                </w:rPr>
                <w:t>started</w:t>
              </w:r>
            </w:hyperlink>
            <w:r w:rsidR="006F18BE" w:rsidRPr="006F18BE">
              <w:rPr>
                <w:sz w:val="20"/>
                <w:szCs w:val="20"/>
              </w:rPr>
              <w:t xml:space="preserve"> working</w:t>
            </w:r>
            <w:r w:rsidRPr="00881711">
              <w:rPr>
                <w:sz w:val="20"/>
                <w:szCs w:val="20"/>
              </w:rPr>
              <w:t xml:space="preserve"> in September 2024. The Working Group for drafting the Action Plan for the period 2026–2028 </w:t>
            </w:r>
            <w:hyperlink r:id="rId10" w:history="1">
              <w:r w:rsidRPr="006F18BE">
                <w:rPr>
                  <w:rStyle w:val="Hyperlink"/>
                  <w:sz w:val="20"/>
                  <w:szCs w:val="20"/>
                </w:rPr>
                <w:t>began its work</w:t>
              </w:r>
            </w:hyperlink>
            <w:r w:rsidRPr="00881711">
              <w:rPr>
                <w:sz w:val="20"/>
                <w:szCs w:val="20"/>
              </w:rPr>
              <w:t xml:space="preserve"> in July 2025.</w:t>
            </w:r>
          </w:p>
          <w:p w14:paraId="4E384B31" w14:textId="1AED1452" w:rsidR="007B7D70" w:rsidRPr="007B7D70" w:rsidRDefault="00881711" w:rsidP="007B7D7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881711">
              <w:rPr>
                <w:sz w:val="20"/>
                <w:szCs w:val="20"/>
              </w:rPr>
              <w:t>During the meetings of the working groups, analyses and documents were exchanged.</w:t>
            </w:r>
            <w:r w:rsidR="006F18BE">
              <w:rPr>
                <w:sz w:val="20"/>
                <w:szCs w:val="20"/>
              </w:rPr>
              <w:t xml:space="preserve"> </w:t>
            </w:r>
            <w:r w:rsidR="006F18BE" w:rsidRPr="006F18BE">
              <w:rPr>
                <w:sz w:val="20"/>
                <w:szCs w:val="20"/>
              </w:rPr>
              <w:t>Representatives of the Government, independent state bodies, and civil society organizations participated in the work of the working groups responsible for drafting all three documents. Proposals from civil society organizations were not accepted, and their role was largely reduced to that of observers. Representatives of TS used the working group meetings to highlight key priorities in the fight against corruption and to offer recommendations for improvement</w:t>
            </w:r>
          </w:p>
          <w:p w14:paraId="0851A9E7" w14:textId="41466F4F" w:rsidR="006F18BE" w:rsidRPr="006F18BE" w:rsidRDefault="006F18BE" w:rsidP="006F18BE">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sz w:val="20"/>
                <w:szCs w:val="20"/>
              </w:rPr>
            </w:pPr>
            <w:r w:rsidRPr="006F18BE">
              <w:rPr>
                <w:sz w:val="20"/>
                <w:szCs w:val="20"/>
              </w:rPr>
              <w:t xml:space="preserve">Drafts of all three documents were published on the eConsultations portal. </w:t>
            </w:r>
          </w:p>
          <w:p w14:paraId="7160563A" w14:textId="2DD2DE4F" w:rsidR="007B7D70" w:rsidRPr="00542765" w:rsidRDefault="00881711" w:rsidP="00051111">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542765">
              <w:rPr>
                <w:sz w:val="20"/>
                <w:szCs w:val="20"/>
              </w:rPr>
              <w:t xml:space="preserve">Public </w:t>
            </w:r>
            <w:r w:rsidR="00542765">
              <w:rPr>
                <w:sz w:val="20"/>
                <w:szCs w:val="20"/>
              </w:rPr>
              <w:t>debates</w:t>
            </w:r>
            <w:r w:rsidR="00542765" w:rsidRPr="00542765">
              <w:rPr>
                <w:sz w:val="20"/>
                <w:szCs w:val="20"/>
              </w:rPr>
              <w:t xml:space="preserve"> </w:t>
            </w:r>
            <w:r w:rsidRPr="00542765">
              <w:rPr>
                <w:sz w:val="20"/>
                <w:szCs w:val="20"/>
              </w:rPr>
              <w:t xml:space="preserve">on all three documents were organized on the eConsultations portal. The public </w:t>
            </w:r>
            <w:r w:rsidR="00542765">
              <w:rPr>
                <w:sz w:val="20"/>
                <w:szCs w:val="20"/>
              </w:rPr>
              <w:t>debate</w:t>
            </w:r>
            <w:r w:rsidR="00542765" w:rsidRPr="00542765">
              <w:rPr>
                <w:sz w:val="20"/>
                <w:szCs w:val="20"/>
              </w:rPr>
              <w:t xml:space="preserve"> </w:t>
            </w:r>
            <w:r w:rsidRPr="00542765">
              <w:rPr>
                <w:sz w:val="20"/>
                <w:szCs w:val="20"/>
              </w:rPr>
              <w:t>on the National Strategy lasted</w:t>
            </w:r>
            <w:r w:rsidR="006F18BE" w:rsidRPr="00542765">
              <w:rPr>
                <w:sz w:val="20"/>
                <w:szCs w:val="20"/>
              </w:rPr>
              <w:t xml:space="preserve"> 20 days,</w:t>
            </w:r>
            <w:r w:rsidRPr="00542765">
              <w:rPr>
                <w:sz w:val="20"/>
                <w:szCs w:val="20"/>
              </w:rPr>
              <w:t xml:space="preserve"> from 16 August 2023 to 5 September 2023. The public consultation on the Action Plan for the period 2024–2025 lasted</w:t>
            </w:r>
            <w:r w:rsidR="006F18BE" w:rsidRPr="00542765">
              <w:rPr>
                <w:sz w:val="20"/>
                <w:szCs w:val="20"/>
              </w:rPr>
              <w:t xml:space="preserve"> also 20 days,</w:t>
            </w:r>
            <w:r w:rsidRPr="00542765">
              <w:rPr>
                <w:sz w:val="20"/>
                <w:szCs w:val="20"/>
              </w:rPr>
              <w:t xml:space="preserve"> from 11 September 2024 to 10 October 2024. The public consultation on the Action Plan for the period 2026–2028 lasted </w:t>
            </w:r>
            <w:r w:rsidR="006F18BE" w:rsidRPr="00542765">
              <w:rPr>
                <w:sz w:val="20"/>
                <w:szCs w:val="20"/>
              </w:rPr>
              <w:t xml:space="preserve">20 days, </w:t>
            </w:r>
            <w:r w:rsidRPr="00542765">
              <w:rPr>
                <w:sz w:val="20"/>
                <w:szCs w:val="20"/>
              </w:rPr>
              <w:t>from 22 August to 15 September 2025.</w:t>
            </w:r>
          </w:p>
          <w:p w14:paraId="17D8D55A" w14:textId="799B5199" w:rsidR="007B7D70" w:rsidRDefault="00881711" w:rsidP="007B7D70">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881711">
              <w:rPr>
                <w:sz w:val="20"/>
                <w:szCs w:val="20"/>
              </w:rPr>
              <w:t>The National Anti-Corruption Strategy for the period 2024–2028 was adopted at a session of the Government of Serbia on 25 July 2024. The Action Plan for the implementation of the National Anti-Corruption Strategy for the period 2024–2025 was adopted at a session of the Government of Serbia on 26 December 2024. The Action Plan for the implementation of the National Anti-Corruption Strategy for the period 2026–2028 had not been adopted as of March 2026.</w:t>
            </w:r>
          </w:p>
          <w:p w14:paraId="57D08251" w14:textId="7A8E6B30" w:rsidR="00475663" w:rsidRPr="00051111" w:rsidRDefault="00881711" w:rsidP="000D6908">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051111">
              <w:rPr>
                <w:sz w:val="20"/>
                <w:szCs w:val="20"/>
              </w:rPr>
              <w:t xml:space="preserve">The National Anti-Corruption Strategy for the period 2024–2028 </w:t>
            </w:r>
            <w:r w:rsidR="00413073" w:rsidRPr="00051111">
              <w:rPr>
                <w:sz w:val="20"/>
                <w:szCs w:val="20"/>
              </w:rPr>
              <w:t xml:space="preserve">("Official Gazette of the Republic of Serbia", No. 63/2024);  The Action Plan for the implementation of the National Anti-Corruption Strategy for the period 2024–2025 was published on the </w:t>
            </w:r>
            <w:hyperlink r:id="rId11" w:history="1">
              <w:r w:rsidR="00413073" w:rsidRPr="00051111">
                <w:rPr>
                  <w:rStyle w:val="Hyperlink"/>
                  <w:sz w:val="20"/>
                  <w:szCs w:val="20"/>
                </w:rPr>
                <w:t>Government website</w:t>
              </w:r>
            </w:hyperlink>
            <w:r w:rsidR="00A50971" w:rsidRPr="00051111">
              <w:t xml:space="preserve"> </w:t>
            </w:r>
            <w:r w:rsidR="00475663" w:rsidRPr="00051111">
              <w:rPr>
                <w:sz w:val="20"/>
                <w:szCs w:val="20"/>
              </w:rPr>
              <w:t xml:space="preserve">. </w:t>
            </w:r>
            <w:r w:rsidR="00FB581F" w:rsidRPr="00051111">
              <w:rPr>
                <w:sz w:val="20"/>
                <w:szCs w:val="20"/>
              </w:rPr>
              <w:t xml:space="preserve">The Strategy was limited to adoption by the Government only, without the intention of parliamentary approval, despite the fact that </w:t>
            </w:r>
            <w:r w:rsidR="001B28AB" w:rsidRPr="00051111">
              <w:rPr>
                <w:sz w:val="20"/>
                <w:szCs w:val="20"/>
              </w:rPr>
              <w:t xml:space="preserve">it </w:t>
            </w:r>
            <w:r w:rsidR="00FB581F" w:rsidRPr="00051111">
              <w:rPr>
                <w:sz w:val="20"/>
                <w:szCs w:val="20"/>
              </w:rPr>
              <w:t xml:space="preserve">was dubbed as “national” and that its thematic scope </w:t>
            </w:r>
            <w:r w:rsidR="00676D9C" w:rsidRPr="00051111">
              <w:rPr>
                <w:sz w:val="20"/>
                <w:szCs w:val="20"/>
              </w:rPr>
              <w:t>requires mobilization of wide institutional competencies, going beyond the executive branch.</w:t>
            </w:r>
          </w:p>
          <w:p w14:paraId="0FE0DA8A" w14:textId="5696443B" w:rsidR="007B7D70" w:rsidRPr="007B7D70" w:rsidRDefault="007B7D70" w:rsidP="006F18BE">
            <w:pPr>
              <w:spacing w:before="120" w:after="120"/>
              <w:ind w:left="720"/>
              <w:contextualSpacing/>
              <w:cnfStyle w:val="000000000000" w:firstRow="0" w:lastRow="0" w:firstColumn="0" w:lastColumn="0" w:oddVBand="0" w:evenVBand="0" w:oddHBand="0" w:evenHBand="0" w:firstRowFirstColumn="0" w:firstRowLastColumn="0" w:lastRowFirstColumn="0" w:lastRowLastColumn="0"/>
              <w:rPr>
                <w:sz w:val="20"/>
                <w:szCs w:val="20"/>
              </w:rPr>
            </w:pPr>
          </w:p>
        </w:tc>
      </w:tr>
      <w:tr w:rsidR="007B7D70" w:rsidRPr="007B7D70" w14:paraId="217770E9"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0A5E0B61" w14:textId="77777777" w:rsidR="007B7D70" w:rsidRPr="007B7D70" w:rsidRDefault="007B7D70" w:rsidP="007B7D70">
            <w:pPr>
              <w:spacing w:before="120" w:after="120"/>
              <w:rPr>
                <w:rFonts w:ascii="Aptos" w:eastAsia="Times New Roman" w:hAnsi="Aptos" w:cs="Times New Roman"/>
                <w:kern w:val="0"/>
                <w:sz w:val="20"/>
                <w:szCs w:val="20"/>
                <w:lang w:eastAsia="en-GB"/>
                <w14:ligatures w14:val="none"/>
              </w:rPr>
            </w:pPr>
            <w:bookmarkStart w:id="0" w:name="_Hlk225367390"/>
            <w:r w:rsidRPr="007B7D70">
              <w:rPr>
                <w:rFonts w:ascii="Aptos" w:eastAsia="Times New Roman" w:hAnsi="Aptos" w:cs="Times New Roman"/>
                <w:kern w:val="0"/>
                <w:sz w:val="20"/>
                <w:szCs w:val="20"/>
                <w:lang w:eastAsia="en-GB"/>
                <w14:ligatures w14:val="none"/>
              </w:rPr>
              <w:t>Key issues in implementation</w:t>
            </w:r>
          </w:p>
        </w:tc>
        <w:tc>
          <w:tcPr>
            <w:tcW w:w="6753" w:type="dxa"/>
          </w:tcPr>
          <w:p w14:paraId="54E74A8D" w14:textId="77777777" w:rsid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2F864505" w14:textId="6D609CE8" w:rsidR="00666F96" w:rsidRPr="00666F96" w:rsidRDefault="00D403F8" w:rsidP="00A42512">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hyperlink r:id="rId12" w:history="1">
              <w:r w:rsidRPr="006F18BE">
                <w:rPr>
                  <w:rStyle w:val="Hyperlink"/>
                  <w:sz w:val="20"/>
                  <w:szCs w:val="20"/>
                  <w:lang w:val="sr-Cyrl-RS"/>
                </w:rPr>
                <w:t>Work</w:t>
              </w:r>
            </w:hyperlink>
            <w:r w:rsidRPr="00D403F8">
              <w:rPr>
                <w:sz w:val="20"/>
                <w:szCs w:val="20"/>
                <w:lang w:val="sr-Cyrl-RS"/>
              </w:rPr>
              <w:t xml:space="preserve"> on the new Anti-Corruption Strategy began in March 2023 with a significant delay compared to the original plan and without a comprehensive analysis or the engagement of state institutions. At that time, Serbia </w:t>
            </w:r>
            <w:proofErr w:type="spellStart"/>
            <w:r w:rsidRPr="00D403F8">
              <w:rPr>
                <w:sz w:val="20"/>
                <w:szCs w:val="20"/>
                <w:lang w:val="sr-Cyrl-RS"/>
              </w:rPr>
              <w:t>had</w:t>
            </w:r>
            <w:proofErr w:type="spellEnd"/>
            <w:r w:rsidRPr="00D403F8">
              <w:rPr>
                <w:sz w:val="20"/>
                <w:szCs w:val="20"/>
                <w:lang w:val="sr-Cyrl-RS"/>
              </w:rPr>
              <w:t xml:space="preserve"> </w:t>
            </w:r>
            <w:proofErr w:type="spellStart"/>
            <w:r w:rsidRPr="00D403F8">
              <w:rPr>
                <w:sz w:val="20"/>
                <w:szCs w:val="20"/>
                <w:lang w:val="sr-Cyrl-RS"/>
              </w:rPr>
              <w:t>already</w:t>
            </w:r>
            <w:proofErr w:type="spellEnd"/>
            <w:r w:rsidRPr="00D403F8">
              <w:rPr>
                <w:sz w:val="20"/>
                <w:szCs w:val="20"/>
                <w:lang w:val="sr-Cyrl-RS"/>
              </w:rPr>
              <w:t xml:space="preserve"> </w:t>
            </w:r>
            <w:proofErr w:type="spellStart"/>
            <w:r w:rsidRPr="00D403F8">
              <w:rPr>
                <w:sz w:val="20"/>
                <w:szCs w:val="20"/>
                <w:lang w:val="sr-Cyrl-RS"/>
              </w:rPr>
              <w:t>been</w:t>
            </w:r>
            <w:proofErr w:type="spellEnd"/>
            <w:r w:rsidRPr="00D403F8">
              <w:rPr>
                <w:sz w:val="20"/>
                <w:szCs w:val="20"/>
                <w:lang w:val="sr-Cyrl-RS"/>
              </w:rPr>
              <w:t xml:space="preserve"> </w:t>
            </w:r>
            <w:proofErr w:type="spellStart"/>
            <w:r w:rsidRPr="00D403F8">
              <w:rPr>
                <w:sz w:val="20"/>
                <w:szCs w:val="20"/>
                <w:lang w:val="sr-Cyrl-RS"/>
              </w:rPr>
              <w:t>without</w:t>
            </w:r>
            <w:proofErr w:type="spellEnd"/>
            <w:r w:rsidRPr="00D403F8">
              <w:rPr>
                <w:sz w:val="20"/>
                <w:szCs w:val="20"/>
                <w:lang w:val="sr-Cyrl-RS"/>
              </w:rPr>
              <w:t xml:space="preserve"> </w:t>
            </w:r>
            <w:proofErr w:type="spellStart"/>
            <w:r w:rsidRPr="00D403F8">
              <w:rPr>
                <w:sz w:val="20"/>
                <w:szCs w:val="20"/>
                <w:lang w:val="sr-Cyrl-RS"/>
              </w:rPr>
              <w:t>this</w:t>
            </w:r>
            <w:proofErr w:type="spellEnd"/>
            <w:r w:rsidRPr="00D403F8">
              <w:rPr>
                <w:sz w:val="20"/>
                <w:szCs w:val="20"/>
                <w:lang w:val="sr-Cyrl-RS"/>
              </w:rPr>
              <w:t xml:space="preserve"> </w:t>
            </w:r>
            <w:proofErr w:type="spellStart"/>
            <w:r w:rsidRPr="00D403F8">
              <w:rPr>
                <w:sz w:val="20"/>
                <w:szCs w:val="20"/>
                <w:lang w:val="sr-Cyrl-RS"/>
              </w:rPr>
              <w:t>key</w:t>
            </w:r>
            <w:proofErr w:type="spellEnd"/>
            <w:r w:rsidRPr="00D403F8">
              <w:rPr>
                <w:sz w:val="20"/>
                <w:szCs w:val="20"/>
                <w:lang w:val="sr-Cyrl-RS"/>
              </w:rPr>
              <w:t xml:space="preserve"> </w:t>
            </w:r>
            <w:proofErr w:type="spellStart"/>
            <w:r w:rsidRPr="00D403F8">
              <w:rPr>
                <w:sz w:val="20"/>
                <w:szCs w:val="20"/>
                <w:lang w:val="sr-Cyrl-RS"/>
              </w:rPr>
              <w:t>plan</w:t>
            </w:r>
            <w:proofErr w:type="spellEnd"/>
            <w:r w:rsidRPr="00D403F8">
              <w:rPr>
                <w:sz w:val="20"/>
                <w:szCs w:val="20"/>
                <w:lang w:val="sr-Cyrl-RS"/>
              </w:rPr>
              <w:t xml:space="preserve"> </w:t>
            </w:r>
            <w:proofErr w:type="spellStart"/>
            <w:r w:rsidRPr="00D403F8">
              <w:rPr>
                <w:sz w:val="20"/>
                <w:szCs w:val="20"/>
                <w:lang w:val="sr-Cyrl-RS"/>
              </w:rPr>
              <w:t>for</w:t>
            </w:r>
            <w:proofErr w:type="spellEnd"/>
            <w:r w:rsidRPr="00D403F8">
              <w:rPr>
                <w:sz w:val="20"/>
                <w:szCs w:val="20"/>
                <w:lang w:val="sr-Cyrl-RS"/>
              </w:rPr>
              <w:t xml:space="preserve"> </w:t>
            </w:r>
            <w:proofErr w:type="spellStart"/>
            <w:r w:rsidRPr="00D403F8">
              <w:rPr>
                <w:sz w:val="20"/>
                <w:szCs w:val="20"/>
                <w:lang w:val="sr-Cyrl-RS"/>
              </w:rPr>
              <w:t>five</w:t>
            </w:r>
            <w:proofErr w:type="spellEnd"/>
            <w:r w:rsidRPr="00D403F8">
              <w:rPr>
                <w:sz w:val="20"/>
                <w:szCs w:val="20"/>
                <w:lang w:val="sr-Cyrl-RS"/>
              </w:rPr>
              <w:t xml:space="preserve"> </w:t>
            </w:r>
            <w:proofErr w:type="spellStart"/>
            <w:r w:rsidRPr="00D403F8">
              <w:rPr>
                <w:sz w:val="20"/>
                <w:szCs w:val="20"/>
                <w:lang w:val="sr-Cyrl-RS"/>
              </w:rPr>
              <w:t>years</w:t>
            </w:r>
            <w:proofErr w:type="spellEnd"/>
            <w:r w:rsidRPr="00D403F8">
              <w:rPr>
                <w:sz w:val="20"/>
                <w:szCs w:val="20"/>
                <w:lang w:val="sr-Cyrl-RS"/>
              </w:rPr>
              <w:t xml:space="preserve">, </w:t>
            </w:r>
            <w:proofErr w:type="spellStart"/>
            <w:r w:rsidRPr="00D403F8">
              <w:rPr>
                <w:sz w:val="20"/>
                <w:szCs w:val="20"/>
                <w:lang w:val="sr-Cyrl-RS"/>
              </w:rPr>
              <w:t>as</w:t>
            </w:r>
            <w:proofErr w:type="spellEnd"/>
            <w:r w:rsidRPr="00D403F8">
              <w:rPr>
                <w:sz w:val="20"/>
                <w:szCs w:val="20"/>
                <w:lang w:val="sr-Cyrl-RS"/>
              </w:rPr>
              <w:t xml:space="preserve"> </w:t>
            </w:r>
            <w:proofErr w:type="spellStart"/>
            <w:r w:rsidRPr="00D403F8">
              <w:rPr>
                <w:sz w:val="20"/>
                <w:szCs w:val="20"/>
                <w:lang w:val="sr-Cyrl-RS"/>
              </w:rPr>
              <w:t>the</w:t>
            </w:r>
            <w:proofErr w:type="spellEnd"/>
            <w:r w:rsidRPr="00D403F8">
              <w:rPr>
                <w:sz w:val="20"/>
                <w:szCs w:val="20"/>
                <w:lang w:val="sr-Cyrl-RS"/>
              </w:rPr>
              <w:t xml:space="preserve"> </w:t>
            </w:r>
            <w:hyperlink r:id="rId13" w:history="1">
              <w:proofErr w:type="spellStart"/>
              <w:r w:rsidRPr="00A42512">
                <w:rPr>
                  <w:rStyle w:val="Hyperlink"/>
                  <w:sz w:val="20"/>
                  <w:szCs w:val="20"/>
                  <w:lang w:val="sr-Cyrl-RS"/>
                </w:rPr>
                <w:t>previous</w:t>
              </w:r>
              <w:proofErr w:type="spellEnd"/>
              <w:r w:rsidRPr="00A42512">
                <w:rPr>
                  <w:rStyle w:val="Hyperlink"/>
                  <w:sz w:val="20"/>
                  <w:szCs w:val="20"/>
                  <w:lang w:val="sr-Cyrl-RS"/>
                </w:rPr>
                <w:t xml:space="preserve"> </w:t>
              </w:r>
              <w:proofErr w:type="spellStart"/>
              <w:r w:rsidRPr="00A42512">
                <w:rPr>
                  <w:rStyle w:val="Hyperlink"/>
                  <w:sz w:val="20"/>
                  <w:szCs w:val="20"/>
                  <w:lang w:val="sr-Cyrl-RS"/>
                </w:rPr>
                <w:t>strategy</w:t>
              </w:r>
              <w:proofErr w:type="spellEnd"/>
            </w:hyperlink>
            <w:r w:rsidRPr="00D403F8">
              <w:rPr>
                <w:sz w:val="20"/>
                <w:szCs w:val="20"/>
                <w:lang w:val="sr-Cyrl-RS"/>
              </w:rPr>
              <w:t xml:space="preserve"> </w:t>
            </w:r>
            <w:proofErr w:type="spellStart"/>
            <w:r w:rsidRPr="00D403F8">
              <w:rPr>
                <w:sz w:val="20"/>
                <w:szCs w:val="20"/>
                <w:lang w:val="sr-Cyrl-RS"/>
              </w:rPr>
              <w:t>for</w:t>
            </w:r>
            <w:proofErr w:type="spellEnd"/>
            <w:r w:rsidRPr="00D403F8">
              <w:rPr>
                <w:sz w:val="20"/>
                <w:szCs w:val="20"/>
                <w:lang w:val="sr-Cyrl-RS"/>
              </w:rPr>
              <w:t xml:space="preserve"> </w:t>
            </w:r>
            <w:proofErr w:type="spellStart"/>
            <w:r w:rsidRPr="00D403F8">
              <w:rPr>
                <w:sz w:val="20"/>
                <w:szCs w:val="20"/>
                <w:lang w:val="sr-Cyrl-RS"/>
              </w:rPr>
              <w:t>the</w:t>
            </w:r>
            <w:proofErr w:type="spellEnd"/>
            <w:r w:rsidRPr="00D403F8">
              <w:rPr>
                <w:sz w:val="20"/>
                <w:szCs w:val="20"/>
                <w:lang w:val="sr-Cyrl-RS"/>
              </w:rPr>
              <w:t xml:space="preserve"> </w:t>
            </w:r>
            <w:proofErr w:type="spellStart"/>
            <w:r w:rsidRPr="00D403F8">
              <w:rPr>
                <w:sz w:val="20"/>
                <w:szCs w:val="20"/>
                <w:lang w:val="sr-Cyrl-RS"/>
              </w:rPr>
              <w:t>period</w:t>
            </w:r>
            <w:proofErr w:type="spellEnd"/>
            <w:r w:rsidRPr="00D403F8">
              <w:rPr>
                <w:sz w:val="20"/>
                <w:szCs w:val="20"/>
                <w:lang w:val="sr-Cyrl-RS"/>
              </w:rPr>
              <w:t xml:space="preserve"> 2013–2018 </w:t>
            </w:r>
            <w:proofErr w:type="spellStart"/>
            <w:r w:rsidRPr="00D403F8">
              <w:rPr>
                <w:sz w:val="20"/>
                <w:szCs w:val="20"/>
                <w:lang w:val="sr-Cyrl-RS"/>
              </w:rPr>
              <w:t>had</w:t>
            </w:r>
            <w:proofErr w:type="spellEnd"/>
            <w:r w:rsidRPr="00D403F8">
              <w:rPr>
                <w:sz w:val="20"/>
                <w:szCs w:val="20"/>
                <w:lang w:val="sr-Cyrl-RS"/>
              </w:rPr>
              <w:t xml:space="preserve"> expired in September 2018. The Government adopted the Strategy rather than the Parliament,</w:t>
            </w:r>
            <w:r w:rsidR="00710572">
              <w:t xml:space="preserve"> </w:t>
            </w:r>
            <w:r w:rsidR="00710572" w:rsidRPr="00710572">
              <w:rPr>
                <w:sz w:val="20"/>
                <w:szCs w:val="20"/>
                <w:lang w:val="sr-Cyrl-RS"/>
              </w:rPr>
              <w:t>as requested by CSOs, primarily Transparency Serbia</w:t>
            </w:r>
            <w:r w:rsidR="00710572">
              <w:rPr>
                <w:sz w:val="20"/>
                <w:szCs w:val="20"/>
                <w:lang w:val="sr-Latn-RS"/>
              </w:rPr>
              <w:t>,</w:t>
            </w:r>
            <w:r w:rsidRPr="00D403F8">
              <w:rPr>
                <w:sz w:val="20"/>
                <w:szCs w:val="20"/>
                <w:lang w:val="sr-Cyrl-RS"/>
              </w:rPr>
              <w:t xml:space="preserve"> which reduced the opportunity to address issues of importance for the entire </w:t>
            </w:r>
            <w:r w:rsidR="00051111">
              <w:rPr>
                <w:sz w:val="20"/>
                <w:szCs w:val="20"/>
              </w:rPr>
              <w:t>governance</w:t>
            </w:r>
            <w:r w:rsidR="00D44014">
              <w:rPr>
                <w:sz w:val="20"/>
                <w:szCs w:val="20"/>
              </w:rPr>
              <w:t xml:space="preserve"> </w:t>
            </w:r>
            <w:r w:rsidRPr="00D403F8">
              <w:rPr>
                <w:sz w:val="20"/>
                <w:szCs w:val="20"/>
                <w:lang w:val="sr-Cyrl-RS"/>
              </w:rPr>
              <w:t xml:space="preserve">system. </w:t>
            </w:r>
            <w:r w:rsidR="00D44014">
              <w:rPr>
                <w:sz w:val="20"/>
                <w:szCs w:val="20"/>
              </w:rPr>
              <w:t>As a result, t</w:t>
            </w:r>
            <w:r w:rsidR="00D44014" w:rsidRPr="00D403F8">
              <w:rPr>
                <w:sz w:val="20"/>
                <w:szCs w:val="20"/>
                <w:lang w:val="sr-Cyrl-RS"/>
              </w:rPr>
              <w:t xml:space="preserve">he </w:t>
            </w:r>
            <w:r w:rsidRPr="00D403F8">
              <w:rPr>
                <w:sz w:val="20"/>
                <w:szCs w:val="20"/>
                <w:lang w:val="sr-Cyrl-RS"/>
              </w:rPr>
              <w:t xml:space="preserve">Strategy does not </w:t>
            </w:r>
            <w:r w:rsidRPr="00D403F8">
              <w:rPr>
                <w:sz w:val="20"/>
                <w:szCs w:val="20"/>
                <w:lang w:val="sr-Cyrl-RS"/>
              </w:rPr>
              <w:lastRenderedPageBreak/>
              <w:t>envisage obligations for the Parliament itself, the President of the Republic, independent state bodies, or the judiciary. It also does not include constitutional changes that could be significant for the fight against corruption.</w:t>
            </w:r>
            <w:bookmarkStart w:id="1" w:name="_Hlk225367549"/>
          </w:p>
          <w:bookmarkEnd w:id="1"/>
          <w:p w14:paraId="4823D38C"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bookmarkEnd w:id="0"/>
      <w:tr w:rsidR="007B7D70" w:rsidRPr="007B7D70" w14:paraId="501D911D"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E336652" w14:textId="77777777" w:rsidR="007B7D70" w:rsidRPr="00296FF5" w:rsidRDefault="007B7D70" w:rsidP="007B7D70">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296FF5">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296FF5">
              <w:rPr>
                <w:rFonts w:ascii="Aptos" w:eastAsia="Times New Roman" w:hAnsi="Aptos" w:cs="Times New Roman"/>
                <w:color w:val="FFFFFF" w:themeColor="background1"/>
                <w:kern w:val="0"/>
                <w:sz w:val="20"/>
                <w:szCs w:val="20"/>
                <w:lang w:eastAsia="en-GB"/>
                <w14:ligatures w14:val="none"/>
              </w:rPr>
              <w:t xml:space="preserve"> how key principles of RGF were respected in the reform step implementation</w:t>
            </w:r>
          </w:p>
        </w:tc>
        <w:tc>
          <w:tcPr>
            <w:tcW w:w="6753" w:type="dxa"/>
          </w:tcPr>
          <w:p w14:paraId="14E9432A"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53C260F9"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 xml:space="preserve">How inclusive was the implementation process? Has the implementation of the reform step allowed for participation of interested stakeholders, especially civil society </w:t>
            </w:r>
            <w:proofErr w:type="spellStart"/>
            <w:r w:rsidRPr="007B7D70">
              <w:rPr>
                <w:i/>
                <w:iCs/>
                <w:sz w:val="20"/>
                <w:szCs w:val="20"/>
              </w:rPr>
              <w:t>organisations</w:t>
            </w:r>
            <w:proofErr w:type="spellEnd"/>
            <w:r w:rsidRPr="007B7D70">
              <w:rPr>
                <w:i/>
                <w:iCs/>
                <w:sz w:val="20"/>
                <w:szCs w:val="20"/>
              </w:rPr>
              <w:t xml:space="preserve"> and – where applicable – business community? How was such participation ensured? What were the issues regarding their participation, if any? </w:t>
            </w:r>
          </w:p>
          <w:p w14:paraId="630F0B91"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 xml:space="preserve">Depending on the reform step, provide an analysis of how other key RGF principles – apart from transparency and inclusivity </w:t>
            </w:r>
            <w:proofErr w:type="spellStart"/>
            <w:r w:rsidRPr="007B7D70">
              <w:rPr>
                <w:i/>
                <w:iCs/>
                <w:sz w:val="20"/>
                <w:szCs w:val="20"/>
              </w:rPr>
              <w:t>analysed</w:t>
            </w:r>
            <w:proofErr w:type="spellEnd"/>
            <w:r w:rsidRPr="007B7D70">
              <w:rPr>
                <w:i/>
                <w:iCs/>
                <w:sz w:val="20"/>
                <w:szCs w:val="20"/>
              </w:rPr>
              <w:t xml:space="preserve"> above – were respected in its implementation, as applicable: sound financial management, equal treatment, non-discrimination and proportionality for intended purpose. </w:t>
            </w:r>
          </w:p>
          <w:p w14:paraId="533BB515" w14:textId="7543AE94" w:rsidR="004D3D8E" w:rsidRDefault="007B7D70" w:rsidP="004D3D8E">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Please provide references wherever possible.</w:t>
            </w:r>
          </w:p>
          <w:p w14:paraId="1EDEFB64" w14:textId="6D1BF741"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The working group, chaired by the State Secretary in the Ministry of Justice, included ten members from the judiciary, nine from civil society organizations or the private sector, while the remaining members represented sectoral ministries, the Government of Serbia, and independent state bodies. Unlike ten years ago, when the previous Strategy was prepared, representatives of the Anti-Corruption Agency were not part of the working group and participated only as observers. The international project played a significant role, as consultants prepared an overview of the state of prevention and repression of corruption and proposed areas to be addressed before the first working group meeting. The consultants then led the work of subgroups tasked with identifying risks in specific areas and ultimately produced the first drafts of the Strategy and the Action Plan, which the working group reviewed from 1 to 3 August 2023.</w:t>
            </w:r>
          </w:p>
          <w:p w14:paraId="3408FA51" w14:textId="64E971D8"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Although the risk analyses for specific areas (which remain unpublished) contain numerous valuable findings and recommendations, the Strategy and Action Plan, as final products, fall far short of providing a comprehensive response to the challenges of combating corruption in Serbia at present. The draft National Anti-Corruption Strategy for 2023–2028 and the accompanying Action Plan for 2023–2024, submitted for public consultation, did not fully reflect decisions of the working group. After the meetings and submission of written comments, the Ministry of Justice formulated the documents, possibly in cooperation with consultants.</w:t>
            </w:r>
          </w:p>
          <w:p w14:paraId="1A18AD85" w14:textId="6B610791" w:rsidR="00710572"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During 2023, representatives of state bodies, civil society organizations, and the Chamber of Commerce participated in drafting the Strategy.</w:t>
            </w:r>
            <w:r w:rsidR="00710572">
              <w:rPr>
                <w:sz w:val="20"/>
                <w:szCs w:val="20"/>
              </w:rPr>
              <w:t xml:space="preserve"> </w:t>
            </w:r>
            <w:r w:rsidR="00710572" w:rsidRPr="00710572">
              <w:rPr>
                <w:sz w:val="20"/>
                <w:szCs w:val="20"/>
              </w:rPr>
              <w:t>Ministry of Justice directly invited several civil society organizations (CSOs) via email to participate in the work of the working group, but only a few—among them Transparency Serbia and Kareja—accepted to be part of this process, contribute to the development of the ex-ante analyses, and provide suggestions for the content of the Strategy.</w:t>
            </w:r>
            <w:r w:rsidR="00710572">
              <w:rPr>
                <w:sz w:val="20"/>
                <w:szCs w:val="20"/>
              </w:rPr>
              <w:t xml:space="preserve"> </w:t>
            </w:r>
            <w:r w:rsidR="00710572" w:rsidRPr="00710572">
              <w:rPr>
                <w:sz w:val="20"/>
                <w:szCs w:val="20"/>
              </w:rPr>
              <w:t>Representatives of TS participated in the work of several sectoral working groups and were regularly invited to meetings,</w:t>
            </w:r>
            <w:r w:rsidR="00710572">
              <w:rPr>
                <w:sz w:val="20"/>
                <w:szCs w:val="20"/>
              </w:rPr>
              <w:t xml:space="preserve"> via email,</w:t>
            </w:r>
            <w:r w:rsidR="00710572" w:rsidRPr="00710572">
              <w:rPr>
                <w:sz w:val="20"/>
                <w:szCs w:val="20"/>
              </w:rPr>
              <w:t xml:space="preserve"> receiving all relevant analyses.</w:t>
            </w:r>
          </w:p>
          <w:p w14:paraId="27DED1D4" w14:textId="7E92AD7F"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However, the final text did not reflect a unified position of all members, nor did the </w:t>
            </w:r>
            <w:r w:rsidR="00F27608" w:rsidRPr="004D3D8E">
              <w:rPr>
                <w:sz w:val="20"/>
                <w:szCs w:val="20"/>
              </w:rPr>
              <w:t>ex-ante</w:t>
            </w:r>
            <w:r w:rsidRPr="004D3D8E">
              <w:rPr>
                <w:sz w:val="20"/>
                <w:szCs w:val="20"/>
              </w:rPr>
              <w:t xml:space="preserve"> analysis cover all risks identified during preparation. Although a public consultation was held in September 2023, the report detailing which proposals were accepted or rejected was published nearly a year later, only after the Government adopted the Strategy. Compared to the draft discussed in the </w:t>
            </w:r>
            <w:r w:rsidRPr="004D3D8E">
              <w:rPr>
                <w:sz w:val="20"/>
                <w:szCs w:val="20"/>
              </w:rPr>
              <w:lastRenderedPageBreak/>
              <w:t>consultation, the final Strategy incorporated some comments from the European Commission, including references to transitional benchmarks in Chapter 23 and GRECO recommendations.</w:t>
            </w:r>
          </w:p>
          <w:p w14:paraId="54E87B52" w14:textId="5A2A017C"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The Action Plan for the first year of Strategy implementation was to be adopted within 90 days, by the end of October 2024. Although the working group preparing the draft Action Plan for 2024–2025 included civil society representatives, the decision-making process allowed only activities approved by the responsible implementing body, without voting by working group members. The organization “Transparency Serbia,” represented in the working group, proposed mandatory publication of procurement information exempt from the Public Procurement Law under intergovernmental agreements and special laws (EXPO 2027), which was not accepted. The measures foreseen in the Action Plans are insufficient to ensure adequate progress in the fight against corruption. </w:t>
            </w:r>
            <w:r w:rsidR="00A42512">
              <w:t xml:space="preserve"> </w:t>
            </w:r>
            <w:r w:rsidR="00A42512" w:rsidRPr="00A42512">
              <w:rPr>
                <w:sz w:val="20"/>
                <w:szCs w:val="20"/>
              </w:rPr>
              <w:t>Moreover, the Reform Agenda requires the adoption of an action plan covering the entire period of validity of the Strategy.</w:t>
            </w:r>
          </w:p>
          <w:p w14:paraId="3FD3478B" w14:textId="7428DFDA"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Foreign experts conducting the analyses considered a limited number of sources and did not use many other relevant reports, including at least five publications by Transparency Serbia and a larger number of pre-accession </w:t>
            </w:r>
            <w:hyperlink r:id="rId14" w:history="1">
              <w:r w:rsidRPr="00710572">
                <w:rPr>
                  <w:rStyle w:val="Hyperlink"/>
                  <w:sz w:val="20"/>
                  <w:szCs w:val="20"/>
                </w:rPr>
                <w:t>Alarm</w:t>
              </w:r>
            </w:hyperlink>
            <w:r w:rsidRPr="004D3D8E">
              <w:rPr>
                <w:sz w:val="20"/>
                <w:szCs w:val="20"/>
              </w:rPr>
              <w:t xml:space="preserve"> and </w:t>
            </w:r>
            <w:hyperlink r:id="rId15" w:history="1">
              <w:r w:rsidRPr="00710572">
                <w:rPr>
                  <w:rStyle w:val="Hyperlink"/>
                  <w:sz w:val="20"/>
                  <w:szCs w:val="20"/>
                </w:rPr>
                <w:t>political</w:t>
              </w:r>
            </w:hyperlink>
            <w:r w:rsidRPr="004D3D8E">
              <w:rPr>
                <w:sz w:val="20"/>
                <w:szCs w:val="20"/>
              </w:rPr>
              <w:t xml:space="preserve"> </w:t>
            </w:r>
            <w:hyperlink r:id="rId16" w:history="1">
              <w:r w:rsidRPr="00710572">
                <w:rPr>
                  <w:rStyle w:val="Hyperlink"/>
                  <w:sz w:val="20"/>
                  <w:szCs w:val="20"/>
                </w:rPr>
                <w:t>documents</w:t>
              </w:r>
            </w:hyperlink>
            <w:r w:rsidRPr="004D3D8E">
              <w:rPr>
                <w:sz w:val="20"/>
                <w:szCs w:val="20"/>
              </w:rPr>
              <w:t xml:space="preserve">. According to </w:t>
            </w:r>
            <w:r w:rsidR="00710572">
              <w:rPr>
                <w:sz w:val="20"/>
                <w:szCs w:val="20"/>
              </w:rPr>
              <w:t xml:space="preserve">these </w:t>
            </w:r>
            <w:r w:rsidRPr="004D3D8E">
              <w:rPr>
                <w:sz w:val="20"/>
                <w:szCs w:val="20"/>
              </w:rPr>
              <w:t>analys</w:t>
            </w:r>
            <w:r w:rsidR="00B23D16">
              <w:rPr>
                <w:sz w:val="20"/>
                <w:szCs w:val="20"/>
              </w:rPr>
              <w:t>e</w:t>
            </w:r>
            <w:r w:rsidRPr="004D3D8E">
              <w:rPr>
                <w:sz w:val="20"/>
                <w:szCs w:val="20"/>
              </w:rPr>
              <w:t>s, the sectors particularly vulnerable to corruption include healthcare, education, taxation, customs, police, local government, public sector management, infrastructure and spatial planning, political financing, privatization, public procurement, lobbying, and whistleblower protection.</w:t>
            </w:r>
          </w:p>
          <w:p w14:paraId="04474EA6" w14:textId="02A33473"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The working group faced difficulties because information on the current state and implementation of previous anti-corruption measures was not fully available, even though </w:t>
            </w:r>
            <w:r w:rsidR="00A53369">
              <w:rPr>
                <w:sz w:val="20"/>
                <w:szCs w:val="20"/>
              </w:rPr>
              <w:t>this</w:t>
            </w:r>
            <w:r w:rsidRPr="004D3D8E">
              <w:rPr>
                <w:sz w:val="20"/>
                <w:szCs w:val="20"/>
              </w:rPr>
              <w:t xml:space="preserve"> was planned to be prepared in advance. Another challenge was the limited commitment of other sectoral ministries. The Ministry of Justice has limited influence over other ministries, while a comprehensive anti-corruption strategy could require substantial interventions in legislation and practice across other sectors. Notably, representatives of the Ministry of Economy did not participate in the first two meetings of the subgroup tasked in April 2023 with discussing anti-corruption measures in state-owned enterprises.</w:t>
            </w:r>
          </w:p>
          <w:p w14:paraId="3B4FD0B2" w14:textId="5BE98BDB"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The </w:t>
            </w:r>
            <w:r w:rsidR="00862709">
              <w:rPr>
                <w:sz w:val="20"/>
                <w:szCs w:val="20"/>
              </w:rPr>
              <w:t xml:space="preserve">adopted </w:t>
            </w:r>
            <w:r w:rsidRPr="004D3D8E">
              <w:rPr>
                <w:sz w:val="20"/>
                <w:szCs w:val="20"/>
              </w:rPr>
              <w:t>documents do not clearly indicate in which direction laws will change or what the amendments aim to achieve, instead planning new analyses. Existing analyses highlighting regulatory gaps, which were extensively discussed during preparation of the Strategy, were not fully utilized within the work of the thematic subgroups. Therefore, there is no reason to delay legislative amendments, especially concerning problems already identified. Work on legislative changes could have started immediately, alongside additional analyses to identify new issues requiring attention.</w:t>
            </w:r>
          </w:p>
          <w:p w14:paraId="02E53832" w14:textId="63A15C1A"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Beyond the loss of time, another problem is the lack of transparency and participatory approach in preparing the analyses. The current draft Action Plan does not specify who would conduct the regulatory needs analyses, who would participate in this process, or the extent to which the relevant expert public could influence the scope and content.</w:t>
            </w:r>
          </w:p>
          <w:p w14:paraId="3AE3E2F5" w14:textId="4D476419" w:rsidR="004D3D8E" w:rsidRPr="004D3D8E"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The draft Action Plan contains numerous activities aimed at strengthening the capacities of individual state bodies. It is highly inadequate that the planning document foresees filling positions based solely on existing acts on staffing. These are staffing needs long identified but not addressed. To plan capacity building in state bodies for combating corruption effectively, precise objectives for their work </w:t>
            </w:r>
            <w:hyperlink r:id="rId17" w:history="1">
              <w:r w:rsidRPr="00710572">
                <w:rPr>
                  <w:rStyle w:val="Hyperlink"/>
                  <w:sz w:val="20"/>
                  <w:szCs w:val="20"/>
                </w:rPr>
                <w:t>must be established</w:t>
              </w:r>
            </w:hyperlink>
            <w:r w:rsidRPr="004D3D8E">
              <w:rPr>
                <w:sz w:val="20"/>
                <w:szCs w:val="20"/>
              </w:rPr>
              <w:t>, which are currently lacking.</w:t>
            </w:r>
          </w:p>
          <w:p w14:paraId="0B803000" w14:textId="53869556" w:rsidR="004D3D8E" w:rsidRPr="007B7D70" w:rsidRDefault="004D3D8E" w:rsidP="004D3D8E">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D3D8E">
              <w:rPr>
                <w:sz w:val="20"/>
                <w:szCs w:val="20"/>
              </w:rPr>
              <w:t xml:space="preserve">For the Strategy’s objectives and individual activities in the Action Plan, more ambitious targets should be set to ensure that implementation of these planning </w:t>
            </w:r>
            <w:r w:rsidRPr="004D3D8E">
              <w:rPr>
                <w:sz w:val="20"/>
                <w:szCs w:val="20"/>
              </w:rPr>
              <w:lastRenderedPageBreak/>
              <w:t>documents meaningfully improves anti-corruption efforts. In their current form, these documents primarily serve the goal of adoption rather than effectively advancing anti-corruption measures and reducing corruption risks.</w:t>
            </w:r>
          </w:p>
          <w:p w14:paraId="72700FDD" w14:textId="4AD0994D"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7B7D70" w:rsidRPr="007B7D70" w14:paraId="60419291"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1954DAE2" w14:textId="77777777" w:rsidR="007B7D70" w:rsidRPr="00710572" w:rsidRDefault="007B7D70" w:rsidP="007B7D70">
            <w:pPr>
              <w:spacing w:before="120" w:after="120"/>
              <w:rPr>
                <w:rFonts w:ascii="Aptos" w:eastAsia="Times New Roman" w:hAnsi="Aptos" w:cs="Times New Roman"/>
                <w:color w:val="FFFFFF" w:themeColor="background1"/>
                <w:kern w:val="0"/>
                <w:sz w:val="20"/>
                <w:szCs w:val="20"/>
                <w:lang w:eastAsia="en-GB"/>
                <w14:ligatures w14:val="none"/>
              </w:rPr>
            </w:pPr>
            <w:r w:rsidRPr="00710572">
              <w:rPr>
                <w:rFonts w:ascii="Aptos" w:eastAsia="Times New Roman" w:hAnsi="Aptos" w:cs="Times New Roman"/>
                <w:color w:val="FFFFFF" w:themeColor="background1"/>
                <w:kern w:val="0"/>
                <w:sz w:val="20"/>
                <w:szCs w:val="20"/>
                <w:lang w:eastAsia="en-GB"/>
                <w14:ligatures w14:val="none"/>
              </w:rPr>
              <w:lastRenderedPageBreak/>
              <w:t>Public availability of evidence of implementation</w:t>
            </w:r>
          </w:p>
        </w:tc>
        <w:tc>
          <w:tcPr>
            <w:tcW w:w="6753" w:type="dxa"/>
          </w:tcPr>
          <w:p w14:paraId="675DBF4E" w14:textId="77777777" w:rsid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Has the final source of verification (as per Reform Agenda) been made publicly available? If yes, please list the source (provide link) and date.</w:t>
            </w:r>
          </w:p>
          <w:p w14:paraId="0C268537" w14:textId="6549E429" w:rsidR="0094782B" w:rsidRPr="0094782B" w:rsidRDefault="0094782B"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8" w:history="1">
              <w:r w:rsidRPr="0094782B">
                <w:rPr>
                  <w:rStyle w:val="Hyperlink"/>
                  <w:sz w:val="20"/>
                  <w:szCs w:val="20"/>
                </w:rPr>
                <w:t>https://pravno-informacioni-sistem.rs/eli/rep/sgrs/vlada/strategija/2024/63/1/reg</w:t>
              </w:r>
            </w:hyperlink>
            <w:r w:rsidRPr="0094782B">
              <w:rPr>
                <w:sz w:val="20"/>
                <w:szCs w:val="20"/>
              </w:rPr>
              <w:t xml:space="preserve"> - </w:t>
            </w:r>
            <w:r w:rsidR="00710572" w:rsidRPr="00710572">
              <w:rPr>
                <w:sz w:val="20"/>
                <w:szCs w:val="20"/>
              </w:rPr>
              <w:t>National Anti-Corruption Strategy for the period 2024–2028 (Official Gazette of the Republic of Serbia, No. 63 of 26 July 2024).</w:t>
            </w:r>
            <w:r w:rsidR="00710572" w:rsidRPr="0094782B" w:rsidDel="00710572">
              <w:rPr>
                <w:sz w:val="20"/>
                <w:szCs w:val="20"/>
              </w:rPr>
              <w:t xml:space="preserve"> </w:t>
            </w:r>
          </w:p>
          <w:p w14:paraId="3D4D8506" w14:textId="78B2C790" w:rsidR="0094782B" w:rsidRPr="0094782B" w:rsidRDefault="0094782B"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9" w:history="1">
              <w:r w:rsidRPr="0094782B">
                <w:rPr>
                  <w:rStyle w:val="Hyperlink"/>
                  <w:sz w:val="20"/>
                  <w:szCs w:val="20"/>
                </w:rPr>
                <w:t>https://www.srbija.gov.rs/extfile/sr/850453/strategija-protiv-korupcije-akcioni-plan050_cyr3.zip</w:t>
              </w:r>
            </w:hyperlink>
            <w:r w:rsidRPr="0094782B">
              <w:rPr>
                <w:sz w:val="20"/>
                <w:szCs w:val="20"/>
              </w:rPr>
              <w:t xml:space="preserve"> -</w:t>
            </w:r>
            <w:r>
              <w:rPr>
                <w:sz w:val="20"/>
                <w:szCs w:val="20"/>
              </w:rPr>
              <w:t xml:space="preserve"> </w:t>
            </w:r>
            <w:r w:rsidR="00710572" w:rsidRPr="00710572">
              <w:rPr>
                <w:sz w:val="20"/>
                <w:szCs w:val="20"/>
              </w:rPr>
              <w:t>Action Plan for the period 2024–2025 for the implementation of the National Anti-Corruption Strategy for the period 2024–2028.</w:t>
            </w:r>
            <w:r w:rsidR="00710572" w:rsidDel="00710572">
              <w:rPr>
                <w:sz w:val="20"/>
                <w:szCs w:val="20"/>
              </w:rPr>
              <w:t xml:space="preserve"> </w:t>
            </w:r>
          </w:p>
          <w:p w14:paraId="02CBD1F0" w14:textId="77777777" w:rsidR="007B7D70" w:rsidRPr="007B7D70" w:rsidRDefault="007B7D70"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A42512" w:rsidRPr="007B7D70" w14:paraId="622633A0"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EA0AF3A" w14:textId="77777777" w:rsidR="00A42512" w:rsidRPr="00710572" w:rsidRDefault="00A42512" w:rsidP="00A42512">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710572">
              <w:rPr>
                <w:rFonts w:ascii="Aptos" w:eastAsia="Times New Roman" w:hAnsi="Aptos" w:cs="Times New Roman"/>
                <w:color w:val="FFFFFF" w:themeColor="background1"/>
                <w:kern w:val="0"/>
                <w:sz w:val="20"/>
                <w:szCs w:val="20"/>
                <w:lang w:eastAsia="en-GB"/>
                <w14:ligatures w14:val="none"/>
              </w:rPr>
              <w:t>Analyse</w:t>
            </w:r>
            <w:proofErr w:type="spellEnd"/>
            <w:r w:rsidRPr="00710572">
              <w:rPr>
                <w:rFonts w:ascii="Aptos" w:eastAsia="Times New Roman" w:hAnsi="Aptos" w:cs="Times New Roman"/>
                <w:color w:val="FFFFFF" w:themeColor="background1"/>
                <w:kern w:val="0"/>
                <w:sz w:val="20"/>
                <w:szCs w:val="20"/>
                <w:lang w:eastAsia="en-GB"/>
                <w14:ligatures w14:val="none"/>
              </w:rPr>
              <w:t xml:space="preserve"> quality of the final output of the reform step</w:t>
            </w:r>
          </w:p>
        </w:tc>
        <w:tc>
          <w:tcPr>
            <w:tcW w:w="6753" w:type="dxa"/>
          </w:tcPr>
          <w:p w14:paraId="4F2B614A" w14:textId="77777777" w:rsidR="00A42512" w:rsidRDefault="00A42512" w:rsidP="00A4251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7B7D70">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0023186E" w14:textId="3D96B4F7" w:rsidR="00A42512" w:rsidRPr="00666F96" w:rsidRDefault="00A42512" w:rsidP="00A50971">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hyperlink r:id="rId20" w:history="1">
              <w:r w:rsidRPr="006F18BE">
                <w:rPr>
                  <w:rStyle w:val="Hyperlink"/>
                  <w:sz w:val="20"/>
                  <w:szCs w:val="20"/>
                  <w:lang w:val="sr-Cyrl-RS"/>
                </w:rPr>
                <w:t>Work</w:t>
              </w:r>
            </w:hyperlink>
            <w:r w:rsidRPr="00D403F8">
              <w:rPr>
                <w:sz w:val="20"/>
                <w:szCs w:val="20"/>
                <w:lang w:val="sr-Cyrl-RS"/>
              </w:rPr>
              <w:t xml:space="preserve"> on the new Anti-Corruption Strategy began in March 2023 with a significant delay compared to the original plan and without a comprehensive analysis or the engagement of state institutions. At that time, Serbia had already been without this key plan for five years, as the </w:t>
            </w:r>
            <w:hyperlink r:id="rId21" w:history="1">
              <w:r w:rsidRPr="00A42512">
                <w:rPr>
                  <w:rStyle w:val="Hyperlink"/>
                  <w:sz w:val="20"/>
                  <w:szCs w:val="20"/>
                  <w:lang w:val="sr-Cyrl-RS"/>
                </w:rPr>
                <w:t>previous strategy</w:t>
              </w:r>
            </w:hyperlink>
            <w:r w:rsidRPr="00D403F8">
              <w:rPr>
                <w:sz w:val="20"/>
                <w:szCs w:val="20"/>
                <w:lang w:val="sr-Cyrl-RS"/>
              </w:rPr>
              <w:t xml:space="preserve"> for the period 2013–2018 had expired in September 2018The Strategy does not envisage obligations for the Parliament itself, the President of the Republic, independent state bodies, or the judiciary. It also does not include constitutional changes that could be significant for the fight against corruption.</w:t>
            </w:r>
          </w:p>
          <w:p w14:paraId="1E5C9E00" w14:textId="77777777" w:rsidR="00A42512" w:rsidRPr="007B7D70" w:rsidRDefault="00A42512" w:rsidP="00A42512">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bl>
    <w:p w14:paraId="6E9761DB" w14:textId="77777777" w:rsidR="007B7D70" w:rsidRPr="007B7D70" w:rsidRDefault="007B7D70" w:rsidP="007B7D70">
      <w:pPr>
        <w:spacing w:after="0" w:line="240" w:lineRule="auto"/>
        <w:rPr>
          <w:sz w:val="24"/>
          <w:szCs w:val="24"/>
          <w:lang w:val="en-US"/>
        </w:rPr>
      </w:pPr>
    </w:p>
    <w:p w14:paraId="4091FB81" w14:textId="77777777" w:rsidR="007B7D70" w:rsidRPr="007B7D70" w:rsidRDefault="007B7D70" w:rsidP="007B7D70">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7B7D70">
        <w:rPr>
          <w:rFonts w:asciiTheme="majorHAnsi" w:eastAsiaTheme="majorEastAsia" w:hAnsiTheme="majorHAnsi" w:cstheme="majorBidi"/>
          <w:color w:val="2F5496" w:themeColor="accent1" w:themeShade="BF"/>
          <w:sz w:val="40"/>
          <w:szCs w:val="40"/>
        </w:rPr>
        <w:t>Final assessment</w:t>
      </w:r>
    </w:p>
    <w:p w14:paraId="3B6A61E6" w14:textId="77777777" w:rsidR="007B7D70" w:rsidRPr="007B7D70" w:rsidRDefault="007B7D70" w:rsidP="007B7D70">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7B7D70" w:rsidRPr="007B7D70" w14:paraId="5190372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B3A8CD1" w14:textId="7891B653" w:rsidR="007B7D70" w:rsidRPr="00296FF5" w:rsidRDefault="007B7D70" w:rsidP="007B7D70">
            <w:pPr>
              <w:spacing w:before="60" w:after="60"/>
              <w:rPr>
                <w:color w:val="FFFFFF" w:themeColor="background1"/>
                <w:sz w:val="20"/>
                <w:szCs w:val="20"/>
              </w:rPr>
            </w:pPr>
            <w:r w:rsidRPr="00296FF5">
              <w:rPr>
                <w:color w:val="FFFFFF" w:themeColor="background1"/>
                <w:sz w:val="20"/>
                <w:szCs w:val="20"/>
              </w:rPr>
              <w:t>Assess formal achievement</w:t>
            </w:r>
          </w:p>
        </w:tc>
        <w:tc>
          <w:tcPr>
            <w:tcW w:w="6753" w:type="dxa"/>
          </w:tcPr>
          <w:p w14:paraId="7C833B8B" w14:textId="476EBCF2" w:rsidR="007B7D70" w:rsidRPr="000821AB" w:rsidRDefault="00051111" w:rsidP="007B7D70">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sr-Latn-RS"/>
              </w:rPr>
            </w:pPr>
            <w:proofErr w:type="spellStart"/>
            <w:r>
              <w:rPr>
                <w:b/>
                <w:bCs/>
                <w:sz w:val="20"/>
                <w:szCs w:val="20"/>
                <w:lang w:val="sr-Latn-RS"/>
              </w:rPr>
              <w:t>Not</w:t>
            </w:r>
            <w:proofErr w:type="spellEnd"/>
            <w:r>
              <w:rPr>
                <w:b/>
                <w:bCs/>
                <w:sz w:val="20"/>
                <w:szCs w:val="20"/>
                <w:lang w:val="sr-Latn-RS"/>
              </w:rPr>
              <w:t xml:space="preserve"> </w:t>
            </w:r>
            <w:proofErr w:type="spellStart"/>
            <w:r w:rsidR="000821AB" w:rsidRPr="00051111">
              <w:rPr>
                <w:b/>
                <w:bCs/>
                <w:sz w:val="20"/>
                <w:szCs w:val="20"/>
                <w:lang w:val="sr-Latn-RS"/>
              </w:rPr>
              <w:t>achieved</w:t>
            </w:r>
            <w:proofErr w:type="spellEnd"/>
          </w:p>
        </w:tc>
      </w:tr>
      <w:tr w:rsidR="007B7D70" w:rsidRPr="007B7D70" w14:paraId="4DA724D2"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24A1F14C" w14:textId="77777777" w:rsidR="007B7D70" w:rsidRPr="00296FF5" w:rsidRDefault="007B7D70" w:rsidP="007B7D70">
            <w:pPr>
              <w:spacing w:before="60" w:after="60"/>
              <w:rPr>
                <w:color w:val="FFFFFF" w:themeColor="background1"/>
                <w:sz w:val="20"/>
                <w:szCs w:val="20"/>
              </w:rPr>
            </w:pPr>
            <w:r w:rsidRPr="00296FF5">
              <w:rPr>
                <w:color w:val="FFFFFF" w:themeColor="background1"/>
                <w:sz w:val="20"/>
                <w:szCs w:val="20"/>
              </w:rPr>
              <w:t>Elaboration of final assessment</w:t>
            </w:r>
          </w:p>
        </w:tc>
        <w:tc>
          <w:tcPr>
            <w:tcW w:w="6753" w:type="dxa"/>
          </w:tcPr>
          <w:p w14:paraId="24FB14F2" w14:textId="3FE4D153" w:rsidR="00A50971" w:rsidRPr="00051111" w:rsidRDefault="00051111" w:rsidP="00A50971">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Cyrl-RS"/>
              </w:rPr>
            </w:pPr>
            <w:r>
              <w:rPr>
                <w:sz w:val="20"/>
                <w:szCs w:val="20"/>
              </w:rPr>
              <w:t>National Strategy and Action plan 2024-2025</w:t>
            </w:r>
            <w:r w:rsidR="004168F5" w:rsidRPr="004168F5">
              <w:rPr>
                <w:sz w:val="20"/>
                <w:szCs w:val="20"/>
              </w:rPr>
              <w:t xml:space="preserve"> have been adopted, but they are not being implemented.</w:t>
            </w:r>
            <w:r>
              <w:t xml:space="preserve"> </w:t>
            </w:r>
            <w:r w:rsidRPr="00051111">
              <w:rPr>
                <w:sz w:val="20"/>
                <w:szCs w:val="20"/>
              </w:rPr>
              <w:t xml:space="preserve">The Action Plan for the implementation of the National Anti-Corruption Strategy for the period 2026–2028 had not been adopted as of March 2026. </w:t>
            </w:r>
            <w:r w:rsidR="004168F5" w:rsidRPr="004168F5">
              <w:rPr>
                <w:sz w:val="20"/>
                <w:szCs w:val="20"/>
              </w:rPr>
              <w:t xml:space="preserve"> They were adopted by the Government rather than by Parliament and do not cover the entire societal system. There is no information indicating that a body has been established to monitor the implementation of the measures and activities set out in the Strategy and Action Plan. The Action Plan for 2024 was adopted on 26 December 2024. The draft Action Plan for 2026–2028 contains the same measures as the Plan for 2024–2025. The plans exist on paper but not in practice.</w:t>
            </w:r>
            <w:r>
              <w:rPr>
                <w:sz w:val="20"/>
                <w:szCs w:val="20"/>
              </w:rPr>
              <w:t xml:space="preserve"> </w:t>
            </w:r>
            <w:r w:rsidRPr="00051111">
              <w:rPr>
                <w:sz w:val="20"/>
                <w:szCs w:val="20"/>
              </w:rPr>
              <w:t>Strategy and an initial Action Plan for 2024-2025 were adopted, but a forward-looking AP for 2026-2028 has not yet been adopted.</w:t>
            </w:r>
            <w:r w:rsidR="00A50971" w:rsidRPr="00051111">
              <w:rPr>
                <w:sz w:val="20"/>
                <w:szCs w:val="20"/>
                <w:lang w:val="sr-Cyrl-RS"/>
              </w:rPr>
              <w:t>This planning document, even if fully implemented</w:t>
            </w:r>
            <w:hyperlink r:id="rId22" w:history="1">
              <w:r w:rsidR="00A50971" w:rsidRPr="00051111">
                <w:rPr>
                  <w:rStyle w:val="Hyperlink"/>
                  <w:sz w:val="20"/>
                  <w:szCs w:val="20"/>
                  <w:lang w:val="sr-Cyrl-RS"/>
                </w:rPr>
                <w:t>, does not provide</w:t>
              </w:r>
            </w:hyperlink>
            <w:r w:rsidR="00A50971" w:rsidRPr="00051111">
              <w:rPr>
                <w:sz w:val="20"/>
                <w:szCs w:val="20"/>
                <w:lang w:val="sr-Cyrl-RS"/>
              </w:rPr>
              <w:t xml:space="preserve"> sufficient guarantees to eliminate some of the main causes of corruption and the malfunctioning of anti-corruption mechanisms. These include extra-institutional and non-transparent decision-making, the undermining of anti-corruption rules </w:t>
            </w:r>
            <w:r w:rsidR="00A50971" w:rsidRPr="00051111">
              <w:rPr>
                <w:sz w:val="20"/>
                <w:szCs w:val="20"/>
                <w:lang w:val="sr-Cyrl-RS"/>
              </w:rPr>
              <w:lastRenderedPageBreak/>
              <w:t>through the adoption of special laws, authentic interpretations, and interstate agreements, as well as the lack of proactivity by the public prosecutor’s office and other state bodies.</w:t>
            </w:r>
          </w:p>
          <w:p w14:paraId="4F5F5F81" w14:textId="77777777" w:rsidR="00A50971" w:rsidRPr="00051111" w:rsidRDefault="00A50971" w:rsidP="00A50971">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051111">
              <w:rPr>
                <w:sz w:val="20"/>
                <w:szCs w:val="20"/>
                <w:lang w:val="sr-Cyrl-RS"/>
              </w:rPr>
              <w:t xml:space="preserve">The Strategy sets insufficiently ambitious indicators of success. Achievement of the overall goal will be measured through progress on the Corruption Perceptions Index of Transparency International, with an increase of only seven points. This level corresponds only to the global average (43) and remains far below the European average (57 points). Serbia had a </w:t>
            </w:r>
            <w:hyperlink r:id="rId23" w:history="1">
              <w:r w:rsidRPr="00051111">
                <w:rPr>
                  <w:rStyle w:val="Hyperlink"/>
                  <w:sz w:val="20"/>
                  <w:szCs w:val="20"/>
                  <w:lang w:val="sr-Cyrl-RS"/>
                </w:rPr>
                <w:t>CPI score</w:t>
              </w:r>
            </w:hyperlink>
            <w:r w:rsidRPr="00051111">
              <w:rPr>
                <w:sz w:val="20"/>
                <w:szCs w:val="20"/>
                <w:lang w:val="sr-Cyrl-RS"/>
              </w:rPr>
              <w:t xml:space="preserve"> of 35 in 2024. Two years after the adoption of the Strategy, the index has declined further and stands at 33 in 2026. Instead of progress on the CPI, the country has experienced regression in the fight against corruption. The Strategy also foresees that by 2028 only 35% of GRECO recommendations from the fifth evaluation round will be fulfilled, even though the initial deadline for full implementation expired at the end of 2023.</w:t>
            </w:r>
          </w:p>
          <w:p w14:paraId="18DFBEAB" w14:textId="77777777" w:rsidR="00A50971" w:rsidRPr="00051111" w:rsidRDefault="00A50971" w:rsidP="00A50971">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051111">
              <w:rPr>
                <w:sz w:val="20"/>
                <w:szCs w:val="20"/>
                <w:lang w:val="sr-Latn-RS"/>
              </w:rPr>
              <w:t>There were also delays in the adoption of the Action Plan. For the period 2024–2025, it was adopted quietly on 26 December 2024. The Plan did not include many proposals submitted by civil society organizations. The main “criteria” for rejecting these proposals were the lack of willingness of the competent institutions to implement the proposed reforms or the lack of resources (no new resources were planned on the basis of the Action Plan). There was also no explanation for the postponement of several reforms envisaged by the Strategy for the period 2026–2028. Instead of continuing reforms between July and December 2024, the Government decided to postpone them until the adoption of the Action Plan.</w:t>
            </w:r>
          </w:p>
          <w:p w14:paraId="5AA261B0" w14:textId="77777777" w:rsidR="00A50971" w:rsidRPr="00051111" w:rsidRDefault="00A50971" w:rsidP="00A50971">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051111">
              <w:rPr>
                <w:sz w:val="20"/>
                <w:szCs w:val="20"/>
                <w:lang w:val="sr-Latn-RS"/>
              </w:rPr>
              <w:t xml:space="preserve">Based on the Periodic Review of the implemented activities under the Action Plan for the period 2024–2025, due by the end of the second quarter of 2025 and prepared by the Anti-Corruption Agency, which oversees the implementation of the Strategy, it </w:t>
            </w:r>
            <w:hyperlink r:id="rId24" w:history="1">
              <w:r w:rsidRPr="00051111">
                <w:rPr>
                  <w:rStyle w:val="Hyperlink"/>
                  <w:sz w:val="20"/>
                  <w:szCs w:val="20"/>
                  <w:lang w:val="sr-Latn-RS"/>
                </w:rPr>
                <w:t>can be concluded</w:t>
              </w:r>
            </w:hyperlink>
            <w:r w:rsidRPr="00051111">
              <w:rPr>
                <w:sz w:val="20"/>
                <w:szCs w:val="20"/>
                <w:lang w:val="sr-Latn-RS"/>
              </w:rPr>
              <w:t xml:space="preserve"> that the General Strategic Objective was not achieved during the implementation period of this Action Plan. </w:t>
            </w:r>
          </w:p>
          <w:p w14:paraId="0D995038" w14:textId="2A8950F9" w:rsidR="007B7D70" w:rsidRPr="00E95A8B" w:rsidRDefault="00A50971" w:rsidP="007B7D70">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051111">
              <w:rPr>
                <w:sz w:val="20"/>
                <w:szCs w:val="20"/>
                <w:lang w:val="sr-Latn-RS"/>
              </w:rPr>
              <w:t>The Action Plan for the period 2026–2028 has still not been adopted. According to information from the Government, it has been sent to the European Commission for consideration. This plan also does not contain adequate solutions for all recommendations from the fifth GRECO evaluation round, with short deadlines and preparatory activities for those that require longer timeframes (e.g. constitutional amendments). It also fails to foresee measures that would ensure more effective prosecution of high-level corruption, as well as solutions for other key risks identified during the preparation of the Strategy and the Action Plan.</w:t>
            </w:r>
          </w:p>
        </w:tc>
      </w:tr>
    </w:tbl>
    <w:p w14:paraId="203C7A23" w14:textId="77777777" w:rsidR="007B7D70" w:rsidRPr="007B7D70" w:rsidRDefault="007B7D70" w:rsidP="007B7D70">
      <w:pPr>
        <w:spacing w:after="0" w:line="240" w:lineRule="auto"/>
        <w:rPr>
          <w:sz w:val="24"/>
          <w:szCs w:val="24"/>
        </w:rPr>
      </w:pPr>
    </w:p>
    <w:p w14:paraId="4B264F21" w14:textId="77777777" w:rsidR="007B7D70" w:rsidRPr="007B7D70" w:rsidRDefault="007B7D70" w:rsidP="007B7D70">
      <w:pPr>
        <w:spacing w:after="0" w:line="240" w:lineRule="auto"/>
        <w:rPr>
          <w:sz w:val="24"/>
          <w:szCs w:val="24"/>
        </w:rPr>
      </w:pPr>
    </w:p>
    <w:p w14:paraId="17B68A98" w14:textId="77777777" w:rsidR="007B7D70" w:rsidRPr="007B7D70" w:rsidRDefault="007B7D70" w:rsidP="007B7D70">
      <w:pPr>
        <w:spacing w:after="0" w:line="240" w:lineRule="auto"/>
        <w:rPr>
          <w:sz w:val="24"/>
          <w:szCs w:val="24"/>
          <w:lang w:val="en-US"/>
        </w:rPr>
      </w:pPr>
    </w:p>
    <w:p w14:paraId="50EFA862" w14:textId="77777777" w:rsidR="007B7D70" w:rsidRPr="007B7D70" w:rsidRDefault="007B7D70" w:rsidP="007B7D70">
      <w:pPr>
        <w:spacing w:after="0" w:line="240" w:lineRule="auto"/>
        <w:rPr>
          <w:sz w:val="24"/>
          <w:szCs w:val="24"/>
          <w:lang w:val="en-US"/>
        </w:rPr>
      </w:pPr>
    </w:p>
    <w:p w14:paraId="151B962A" w14:textId="77777777" w:rsidR="007B7D70" w:rsidRPr="007B7D70" w:rsidRDefault="007B7D70" w:rsidP="007B7D70"/>
    <w:p w14:paraId="5E5C8593" w14:textId="77777777" w:rsidR="007B7D70" w:rsidRPr="007B7D70" w:rsidRDefault="007B7D70" w:rsidP="007B7D70"/>
    <w:p w14:paraId="1E7D3AB6" w14:textId="77777777" w:rsidR="007B7D70" w:rsidRPr="007B7D70" w:rsidRDefault="007B7D70" w:rsidP="007B7D70"/>
    <w:p w14:paraId="11B5DFC1" w14:textId="77777777" w:rsidR="00FB11D0" w:rsidRDefault="00FB11D0"/>
    <w:sectPr w:rsidR="00FB11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C1E4" w14:textId="77777777" w:rsidR="007943C5" w:rsidRDefault="007943C5" w:rsidP="007B7D70">
      <w:pPr>
        <w:spacing w:after="0" w:line="240" w:lineRule="auto"/>
      </w:pPr>
      <w:r>
        <w:separator/>
      </w:r>
    </w:p>
  </w:endnote>
  <w:endnote w:type="continuationSeparator" w:id="0">
    <w:p w14:paraId="53178FE6" w14:textId="77777777" w:rsidR="007943C5" w:rsidRDefault="007943C5" w:rsidP="007B7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00A29" w14:textId="77777777" w:rsidR="007943C5" w:rsidRDefault="007943C5" w:rsidP="007B7D70">
      <w:pPr>
        <w:spacing w:after="0" w:line="240" w:lineRule="auto"/>
      </w:pPr>
      <w:r>
        <w:separator/>
      </w:r>
    </w:p>
  </w:footnote>
  <w:footnote w:type="continuationSeparator" w:id="0">
    <w:p w14:paraId="53F5EF3E" w14:textId="77777777" w:rsidR="007943C5" w:rsidRDefault="007943C5" w:rsidP="007B7D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9074005">
    <w:abstractNumId w:val="0"/>
  </w:num>
  <w:num w:numId="2" w16cid:durableId="1811746263">
    <w:abstractNumId w:val="1"/>
  </w:num>
  <w:num w:numId="3" w16cid:durableId="7325854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D70"/>
    <w:rsid w:val="00021828"/>
    <w:rsid w:val="00050C70"/>
    <w:rsid w:val="00051111"/>
    <w:rsid w:val="0005558E"/>
    <w:rsid w:val="000821AB"/>
    <w:rsid w:val="000D6908"/>
    <w:rsid w:val="00103D53"/>
    <w:rsid w:val="001301AE"/>
    <w:rsid w:val="001607E4"/>
    <w:rsid w:val="001731D9"/>
    <w:rsid w:val="001B28AB"/>
    <w:rsid w:val="001B4AED"/>
    <w:rsid w:val="00275A32"/>
    <w:rsid w:val="002859BE"/>
    <w:rsid w:val="00296FF5"/>
    <w:rsid w:val="002B1ABD"/>
    <w:rsid w:val="0038208C"/>
    <w:rsid w:val="00386D30"/>
    <w:rsid w:val="003A0FB3"/>
    <w:rsid w:val="003E7164"/>
    <w:rsid w:val="003F1AF9"/>
    <w:rsid w:val="00413073"/>
    <w:rsid w:val="004168F5"/>
    <w:rsid w:val="004239EC"/>
    <w:rsid w:val="004332F5"/>
    <w:rsid w:val="00447C66"/>
    <w:rsid w:val="00475663"/>
    <w:rsid w:val="004C28DE"/>
    <w:rsid w:val="004C4F72"/>
    <w:rsid w:val="004D3D8E"/>
    <w:rsid w:val="004F6093"/>
    <w:rsid w:val="00514BAE"/>
    <w:rsid w:val="00542765"/>
    <w:rsid w:val="00587A3B"/>
    <w:rsid w:val="005D1FB8"/>
    <w:rsid w:val="00666F96"/>
    <w:rsid w:val="00676D9C"/>
    <w:rsid w:val="006B3DDB"/>
    <w:rsid w:val="006F11CD"/>
    <w:rsid w:val="006F18BE"/>
    <w:rsid w:val="00710572"/>
    <w:rsid w:val="00747CB5"/>
    <w:rsid w:val="007943C5"/>
    <w:rsid w:val="007B06EA"/>
    <w:rsid w:val="007B7D70"/>
    <w:rsid w:val="007C5D38"/>
    <w:rsid w:val="00862709"/>
    <w:rsid w:val="00871EFE"/>
    <w:rsid w:val="00881711"/>
    <w:rsid w:val="008E1FE7"/>
    <w:rsid w:val="0094782B"/>
    <w:rsid w:val="00971C56"/>
    <w:rsid w:val="009E6BE7"/>
    <w:rsid w:val="00A42512"/>
    <w:rsid w:val="00A50971"/>
    <w:rsid w:val="00A50F81"/>
    <w:rsid w:val="00A53369"/>
    <w:rsid w:val="00AF125F"/>
    <w:rsid w:val="00AF6F9B"/>
    <w:rsid w:val="00B23D16"/>
    <w:rsid w:val="00C2342A"/>
    <w:rsid w:val="00C40431"/>
    <w:rsid w:val="00C46BE3"/>
    <w:rsid w:val="00C83E0D"/>
    <w:rsid w:val="00C90450"/>
    <w:rsid w:val="00CA64DC"/>
    <w:rsid w:val="00CD5DD6"/>
    <w:rsid w:val="00D403F8"/>
    <w:rsid w:val="00D44014"/>
    <w:rsid w:val="00D721A6"/>
    <w:rsid w:val="00D92C62"/>
    <w:rsid w:val="00DD1510"/>
    <w:rsid w:val="00DD4196"/>
    <w:rsid w:val="00E01C16"/>
    <w:rsid w:val="00E271AE"/>
    <w:rsid w:val="00E56C2D"/>
    <w:rsid w:val="00E95A8B"/>
    <w:rsid w:val="00EF24E8"/>
    <w:rsid w:val="00F17D6E"/>
    <w:rsid w:val="00F27608"/>
    <w:rsid w:val="00F7475F"/>
    <w:rsid w:val="00F936EE"/>
    <w:rsid w:val="00FB11D0"/>
    <w:rsid w:val="00FB4E17"/>
    <w:rsid w:val="00FB581F"/>
    <w:rsid w:val="00FC311E"/>
    <w:rsid w:val="00FF24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00908"/>
  <w15:chartTrackingRefBased/>
  <w15:docId w15:val="{937D5B30-0546-4195-8420-C9F74B620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971"/>
  </w:style>
  <w:style w:type="paragraph" w:styleId="Heading1">
    <w:name w:val="heading 1"/>
    <w:basedOn w:val="Normal"/>
    <w:next w:val="Normal"/>
    <w:link w:val="Heading1Char"/>
    <w:uiPriority w:val="9"/>
    <w:qFormat/>
    <w:rsid w:val="007B7D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7D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7D7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7D7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B7D7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B7D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7D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7D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7D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7D7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7D7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7D7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7D7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7D7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7D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7D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7D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7D70"/>
    <w:rPr>
      <w:rFonts w:eastAsiaTheme="majorEastAsia" w:cstheme="majorBidi"/>
      <w:color w:val="272727" w:themeColor="text1" w:themeTint="D8"/>
    </w:rPr>
  </w:style>
  <w:style w:type="paragraph" w:styleId="Title">
    <w:name w:val="Title"/>
    <w:basedOn w:val="Normal"/>
    <w:next w:val="Normal"/>
    <w:link w:val="TitleChar"/>
    <w:uiPriority w:val="10"/>
    <w:qFormat/>
    <w:rsid w:val="007B7D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D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7D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7D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7D70"/>
    <w:pPr>
      <w:spacing w:before="160"/>
      <w:jc w:val="center"/>
    </w:pPr>
    <w:rPr>
      <w:i/>
      <w:iCs/>
      <w:color w:val="404040" w:themeColor="text1" w:themeTint="BF"/>
    </w:rPr>
  </w:style>
  <w:style w:type="character" w:customStyle="1" w:styleId="QuoteChar">
    <w:name w:val="Quote Char"/>
    <w:basedOn w:val="DefaultParagraphFont"/>
    <w:link w:val="Quote"/>
    <w:uiPriority w:val="29"/>
    <w:rsid w:val="007B7D70"/>
    <w:rPr>
      <w:i/>
      <w:iCs/>
      <w:color w:val="404040" w:themeColor="text1" w:themeTint="BF"/>
    </w:rPr>
  </w:style>
  <w:style w:type="paragraph" w:styleId="ListParagraph">
    <w:name w:val="List Paragraph"/>
    <w:basedOn w:val="Normal"/>
    <w:uiPriority w:val="34"/>
    <w:qFormat/>
    <w:rsid w:val="007B7D70"/>
    <w:pPr>
      <w:ind w:left="720"/>
      <w:contextualSpacing/>
    </w:pPr>
  </w:style>
  <w:style w:type="character" w:styleId="IntenseEmphasis">
    <w:name w:val="Intense Emphasis"/>
    <w:basedOn w:val="DefaultParagraphFont"/>
    <w:uiPriority w:val="21"/>
    <w:qFormat/>
    <w:rsid w:val="007B7D70"/>
    <w:rPr>
      <w:i/>
      <w:iCs/>
      <w:color w:val="2F5496" w:themeColor="accent1" w:themeShade="BF"/>
    </w:rPr>
  </w:style>
  <w:style w:type="paragraph" w:styleId="IntenseQuote">
    <w:name w:val="Intense Quote"/>
    <w:basedOn w:val="Normal"/>
    <w:next w:val="Normal"/>
    <w:link w:val="IntenseQuoteChar"/>
    <w:uiPriority w:val="30"/>
    <w:qFormat/>
    <w:rsid w:val="007B7D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B7D70"/>
    <w:rPr>
      <w:i/>
      <w:iCs/>
      <w:color w:val="2F5496" w:themeColor="accent1" w:themeShade="BF"/>
    </w:rPr>
  </w:style>
  <w:style w:type="character" w:styleId="IntenseReference">
    <w:name w:val="Intense Reference"/>
    <w:basedOn w:val="DefaultParagraphFont"/>
    <w:uiPriority w:val="32"/>
    <w:qFormat/>
    <w:rsid w:val="007B7D70"/>
    <w:rPr>
      <w:b/>
      <w:bCs/>
      <w:smallCaps/>
      <w:color w:val="2F5496" w:themeColor="accent1" w:themeShade="BF"/>
      <w:spacing w:val="5"/>
    </w:rPr>
  </w:style>
  <w:style w:type="table" w:styleId="GridTable1Light">
    <w:name w:val="Grid Table 1 Light"/>
    <w:basedOn w:val="TableNormal"/>
    <w:uiPriority w:val="46"/>
    <w:rsid w:val="007B7D70"/>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7B7D70"/>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7B7D70"/>
    <w:rPr>
      <w:sz w:val="20"/>
      <w:szCs w:val="20"/>
      <w:lang w:val="en-US"/>
    </w:rPr>
  </w:style>
  <w:style w:type="character" w:styleId="FootnoteReference">
    <w:name w:val="footnote reference"/>
    <w:basedOn w:val="DefaultParagraphFont"/>
    <w:uiPriority w:val="99"/>
    <w:semiHidden/>
    <w:unhideWhenUsed/>
    <w:rsid w:val="007B7D70"/>
    <w:rPr>
      <w:vertAlign w:val="superscript"/>
    </w:rPr>
  </w:style>
  <w:style w:type="character" w:styleId="Hyperlink">
    <w:name w:val="Hyperlink"/>
    <w:basedOn w:val="DefaultParagraphFont"/>
    <w:uiPriority w:val="99"/>
    <w:unhideWhenUsed/>
    <w:rsid w:val="005D1FB8"/>
    <w:rPr>
      <w:color w:val="0563C1" w:themeColor="hyperlink"/>
      <w:u w:val="single"/>
    </w:rPr>
  </w:style>
  <w:style w:type="character" w:styleId="UnresolvedMention">
    <w:name w:val="Unresolved Mention"/>
    <w:basedOn w:val="DefaultParagraphFont"/>
    <w:uiPriority w:val="99"/>
    <w:semiHidden/>
    <w:unhideWhenUsed/>
    <w:rsid w:val="005D1FB8"/>
    <w:rPr>
      <w:color w:val="605E5C"/>
      <w:shd w:val="clear" w:color="auto" w:fill="E1DFDD"/>
    </w:rPr>
  </w:style>
  <w:style w:type="character" w:styleId="CommentReference">
    <w:name w:val="annotation reference"/>
    <w:basedOn w:val="DefaultParagraphFont"/>
    <w:uiPriority w:val="99"/>
    <w:semiHidden/>
    <w:unhideWhenUsed/>
    <w:rsid w:val="00AF6F9B"/>
    <w:rPr>
      <w:sz w:val="16"/>
      <w:szCs w:val="16"/>
    </w:rPr>
  </w:style>
  <w:style w:type="paragraph" w:styleId="CommentText">
    <w:name w:val="annotation text"/>
    <w:basedOn w:val="Normal"/>
    <w:link w:val="CommentTextChar"/>
    <w:uiPriority w:val="99"/>
    <w:semiHidden/>
    <w:unhideWhenUsed/>
    <w:rsid w:val="00AF6F9B"/>
    <w:pPr>
      <w:spacing w:line="240" w:lineRule="auto"/>
    </w:pPr>
    <w:rPr>
      <w:sz w:val="20"/>
      <w:szCs w:val="20"/>
    </w:rPr>
  </w:style>
  <w:style w:type="character" w:customStyle="1" w:styleId="CommentTextChar">
    <w:name w:val="Comment Text Char"/>
    <w:basedOn w:val="DefaultParagraphFont"/>
    <w:link w:val="CommentText"/>
    <w:uiPriority w:val="99"/>
    <w:semiHidden/>
    <w:rsid w:val="00AF6F9B"/>
    <w:rPr>
      <w:sz w:val="20"/>
      <w:szCs w:val="20"/>
    </w:rPr>
  </w:style>
  <w:style w:type="paragraph" w:styleId="CommentSubject">
    <w:name w:val="annotation subject"/>
    <w:basedOn w:val="CommentText"/>
    <w:next w:val="CommentText"/>
    <w:link w:val="CommentSubjectChar"/>
    <w:uiPriority w:val="99"/>
    <w:semiHidden/>
    <w:unhideWhenUsed/>
    <w:rsid w:val="00AF6F9B"/>
    <w:rPr>
      <w:b/>
      <w:bCs/>
    </w:rPr>
  </w:style>
  <w:style w:type="character" w:customStyle="1" w:styleId="CommentSubjectChar">
    <w:name w:val="Comment Subject Char"/>
    <w:basedOn w:val="CommentTextChar"/>
    <w:link w:val="CommentSubject"/>
    <w:uiPriority w:val="99"/>
    <w:semiHidden/>
    <w:rsid w:val="00AF6F9B"/>
    <w:rPr>
      <w:b/>
      <w:bCs/>
      <w:sz w:val="20"/>
      <w:szCs w:val="20"/>
    </w:rPr>
  </w:style>
  <w:style w:type="paragraph" w:styleId="Revision">
    <w:name w:val="Revision"/>
    <w:hidden/>
    <w:uiPriority w:val="99"/>
    <w:semiHidden/>
    <w:rsid w:val="008627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onsultacije.gov.rs/topicOfDiscussionPage/168/4" TargetMode="External"/><Relationship Id="rId13" Type="http://schemas.openxmlformats.org/officeDocument/2006/relationships/hyperlink" Target="https://www.paragraf.rs/propisi_download/nacionalna_strategija_za_borbu_protiv_korupcije_u_republici_srbiji_za_period_od_2013_do_2018_godine.pdf" TargetMode="External"/><Relationship Id="rId18" Type="http://schemas.openxmlformats.org/officeDocument/2006/relationships/hyperlink" Target="https://pravno-informacioni-sistem.rs/eli/rep/sgrs/vlada/strategija/2024/63/1/re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aragraf.rs/propisi_download/nacionalna_strategija_za_borbu_protiv_korupcije_u_republici_srbiji_za_period_od_2013_do_2018_godine.pdf" TargetMode="External"/><Relationship Id="rId7" Type="http://schemas.openxmlformats.org/officeDocument/2006/relationships/endnotes" Target="endnotes.xml"/><Relationship Id="rId12" Type="http://schemas.openxmlformats.org/officeDocument/2006/relationships/hyperlink" Target="https://mpravde.gov.rs/files/re%C5%A1enje%20Radna%20grupa.pdf" TargetMode="External"/><Relationship Id="rId17" Type="http://schemas.openxmlformats.org/officeDocument/2006/relationships/hyperlink" Target="https://www.preugovor.org/Brze-reakcije/1847/Nova-Strategija-borbe-protiv-korupcije-cemu.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reugovor.org/Publikacije/133/Prakticne-politike.shtml" TargetMode="External"/><Relationship Id="rId20" Type="http://schemas.openxmlformats.org/officeDocument/2006/relationships/hyperlink" Target="https://mpravde.gov.rs/files/re%C5%A1enje%20Radna%20grupa.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rbija.gov.rs/extfile/sr/850453/strategija-protiv-korupcije-akcioni-plan050_cyr3.zip" TargetMode="External"/><Relationship Id="rId24" Type="http://schemas.openxmlformats.org/officeDocument/2006/relationships/hyperlink" Target="https://mpravde.gov.rs/storage/downloads/01KGPMPRVZSPXX2H4HN9P22TTT.pdf" TargetMode="External"/><Relationship Id="rId5" Type="http://schemas.openxmlformats.org/officeDocument/2006/relationships/webSettings" Target="webSettings.xml"/><Relationship Id="rId15" Type="http://schemas.openxmlformats.org/officeDocument/2006/relationships/hyperlink" Target="https://www.preugovor.org/Publikacije/1657/Brze-reakcije.shtml" TargetMode="External"/><Relationship Id="rId23" Type="http://schemas.openxmlformats.org/officeDocument/2006/relationships/hyperlink" Target="https://www.transparentnost.org.rs/sr/istraivanja-o-korupciji/indeks-percepcije-korupcije-cpi" TargetMode="External"/><Relationship Id="rId10" Type="http://schemas.openxmlformats.org/officeDocument/2006/relationships/hyperlink" Target="https://ekonsultacije.gov.rs/topicOfDiscussionPage/537/4" TargetMode="External"/><Relationship Id="rId19" Type="http://schemas.openxmlformats.org/officeDocument/2006/relationships/hyperlink" Target="https://www.srbija.gov.rs/extfile/sr/850453/strategija-protiv-korupcije-akcioni-plan050_cyr3.zip" TargetMode="External"/><Relationship Id="rId4" Type="http://schemas.openxmlformats.org/officeDocument/2006/relationships/settings" Target="settings.xml"/><Relationship Id="rId9" Type="http://schemas.openxmlformats.org/officeDocument/2006/relationships/hyperlink" Target="https://ekonsultacije.gov.rs/topicOfDiscussionPage/380/1" TargetMode="External"/><Relationship Id="rId14" Type="http://schemas.openxmlformats.org/officeDocument/2006/relationships/hyperlink" Target="https://www.preugovor.org/Publikacije/131/Alarm-izvestaji.shtml" TargetMode="External"/><Relationship Id="rId22" Type="http://schemas.openxmlformats.org/officeDocument/2006/relationships/hyperlink" Target="https://www.transparentnost.org.rs/sr/aktivnosti-2/saoptenja/12743-antikorupcijska-strategija-posle-pet-i-po-godina-ocekivanja-i-nedosta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B33D3-DC31-4F92-835C-27D5AFEB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3054</Words>
  <Characters>17472</Characters>
  <Application>Microsoft Office Word</Application>
  <DocSecurity>0</DocSecurity>
  <Lines>349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10</cp:revision>
  <dcterms:created xsi:type="dcterms:W3CDTF">2026-03-30T11:19:00Z</dcterms:created>
  <dcterms:modified xsi:type="dcterms:W3CDTF">2026-04-24T18:56:00Z</dcterms:modified>
</cp:coreProperties>
</file>